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EFCD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Lines="0" w:line="540" w:lineRule="exact"/>
        <w:ind w:firstLine="0" w:firstLineChars="0"/>
        <w:jc w:val="both"/>
        <w:textAlignment w:val="baseline"/>
        <w:rPr>
          <w:rFonts w:hint="eastAsia" w:ascii="Times New Roman" w:hAnsi="Times New Roman" w:eastAsia="仿宋_GB2312" w:cs="仿宋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"/>
          <w:spacing w:val="0"/>
          <w:w w:val="100"/>
          <w:sz w:val="32"/>
          <w:szCs w:val="32"/>
          <w:lang w:val="en-US" w:eastAsia="zh-CN"/>
        </w:rPr>
        <w:t>附件1-3</w:t>
      </w:r>
    </w:p>
    <w:p w14:paraId="30A8171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="313" w:beforeLines="100" w:after="313" w:afterLines="100" w:line="540" w:lineRule="exact"/>
        <w:ind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  <w:szCs w:val="44"/>
          <w:lang w:val="en-US" w:eastAsia="zh-CN"/>
        </w:rPr>
        <w:t>部分指标和要求说明</w:t>
      </w:r>
    </w:p>
    <w:p w14:paraId="702806B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Lines="0"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（一）指标中如对期限无特殊说明,以企业上一会计年度审计报告期末数为准。对于存在子公司或母公司的企业,按财政部印发的《企业会计准则》有关规定执行。</w:t>
      </w:r>
    </w:p>
    <w:p w14:paraId="049DB89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Lines="0"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（二）所称“较大生产安全事故、重大网络和数据安全事件、重大环境违法行为、严重质量问题、严重违反相关行业管理规定”包含更加严重的情形，以生产安全、网络安全、数据安全、环境保护、产品质量等监管部门以及相关行业主管部门,依据《中华人民共和国安全生产法》《生产安全事故报告和调查处理条例》《中华人民共和国网络安全法》《国家网络安全事件报告管理办法》《中华人民共和国数据安全法》《工业和信息化领域数据安全事件应急预案》《中华人民共和国环境保护法》《中华人民共和国产品质量法》等法律法规,最高人民法院、最高人民检察院司法解释,部门规章以及地方法规等判定结果为准。</w:t>
      </w:r>
    </w:p>
    <w:p w14:paraId="5D9637E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Lines="0"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（三）所称“主导产品”是指企业核心技术在产品中发挥重要作用，且产品收入之和占企业同期营业收入比重超过 50%。</w:t>
      </w:r>
    </w:p>
    <w:p w14:paraId="6637995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Lines="0"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（四）所称“主导产品在国内或国际细分市场占有率达到10%以上或国内前三名，且享有较高知名度和影响力”，企业如实说明即可。</w:t>
      </w:r>
    </w:p>
    <w:p w14:paraId="431C4B5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Lines="0"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（五）所称“国家级科技奖励”包括国家科学技术进步奖、国家自然科学奖、国家技术发明奖，以及国防科技奖。</w:t>
      </w:r>
    </w:p>
    <w:p w14:paraId="656CA87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Lines="0"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（六）所称“经认定的省部级研发机构”包括省部级政府部门认定的技术研究院、技术工程中心、设计中心、重点实验室等各类研发机构。</w:t>
      </w:r>
    </w:p>
    <w:p w14:paraId="5AF88AA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Lines="0"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（七）所称“Ι类知识产权”均不包含转入的Ι类知识产权，且申请企业应在权利人中排名前三；包括发明专利（含国防专利）、植物新品种、国家级农作物品种、国家新药、国家一级中药保护品种、集成电路布图设计专有权。</w:t>
      </w:r>
    </w:p>
    <w:p w14:paraId="260BA00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Lines="0"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（八）如无特殊说明，所称“以上”、“以下”，包括本数。</w:t>
      </w:r>
    </w:p>
    <w:p w14:paraId="78F42C1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Lines="0"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（九）所 称 经 营 异 常 以 国 家 企 业 信 用 信 息 公 示 系 统(http://www.gsxt.gov.cn)查询结果或省级中小企业主管部门实地核查结果为准;所称 “严重失信主体名单 ”以信用中国(http://www.creditchina.gov.cn)查询结果或有关政府部门出具的失信主体名单为准。</w:t>
      </w:r>
    </w:p>
    <w:p w14:paraId="2EA518F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Lines="0"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（十）所称“对中小企业专精特新发展质量进行评价”，是指依据《中小企业专精特新发展评价(试行)》组织开展的评价工作，不包含加分项。</w:t>
      </w:r>
    </w:p>
    <w:p w14:paraId="518CB3B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Lines="0"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（十一）企业只需按照自身所获得最高一级称号参加复核工作。</w:t>
      </w:r>
    </w:p>
    <w:p w14:paraId="05BC8BA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Lines="0" w:line="54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（十二）所称“简单更名”，是指企业因经营发展需要，仅在市场监管部门发生名称变更，不涉及与认定条件有关的重大变化（如分立、合并、重组、经营异常以及主导产品发生变化等）。</w:t>
      </w:r>
    </w:p>
    <w:p w14:paraId="1E286D5B"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（十三）在本办法正式实施前启动的专精特新中小企业和专精特新“小巨人”企业复核工作，可按照原标准实施。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417971"/>
    <w:rsid w:val="7241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其他省直机关单位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Office_12.8.0.21240_F1E327BC-269C-435d-A152-05C5408002CA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2026-09-17T07:24:00Z</dcterms:created>
  <dc:creator>1</dc:creator>
  <cp:lastModifiedBy>1</cp:lastModifiedBy>
  <dcterms:modified xsi:type="dcterms:W3CDTF">2026-09-17T07:24:52Z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2052-12.8.0.21240</vt:lpwstr>
  </property>
  <property fmtid="{D5CDD505-2E9C-101B-9397-08002B2CF9AE}" pid="3" name="ICV">
    <vt:lpwstr>527F0F9E454447D28A7061DAAE120A45_11</vt:lpwstr>
  </property>
</Properties>
</file>