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9C553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beforeLines="0" w:line="540" w:lineRule="exact"/>
        <w:ind w:left="0" w:firstLine="0" w:firstLineChars="0"/>
        <w:jc w:val="both"/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1-2</w:t>
      </w:r>
    </w:p>
    <w:p w14:paraId="79B24F1B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="313" w:beforeLines="100" w:line="540" w:lineRule="exact"/>
        <w:jc w:val="center"/>
        <w:textAlignment w:val="auto"/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</w:rPr>
        <w:t>专精特新</w:t>
      </w: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  <w:lang w:eastAsia="zh-CN"/>
        </w:rPr>
        <w:t>“</w:t>
      </w: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</w:rPr>
        <w:t>小巨人</w:t>
      </w: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简体" w:cs="方正小标宋简体"/>
          <w:spacing w:val="0"/>
          <w:w w:val="100"/>
          <w:sz w:val="44"/>
          <w:szCs w:val="44"/>
        </w:rPr>
        <w:t>企业认定标准</w:t>
      </w:r>
    </w:p>
    <w:p w14:paraId="3C2B31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beforeLines="0" w:line="540" w:lineRule="exact"/>
        <w:ind w:firstLine="640" w:firstLineChars="200"/>
        <w:jc w:val="center"/>
        <w:textAlignment w:val="baseline"/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</w:rPr>
      </w:pPr>
    </w:p>
    <w:p w14:paraId="7EDB8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需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同时满足以下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项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指标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：</w:t>
      </w:r>
    </w:p>
    <w:p w14:paraId="7559FA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已获得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专精特新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中小企业称号，截至上年末从事特定细分市场时间达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年以上。</w:t>
      </w:r>
    </w:p>
    <w:p w14:paraId="0EE53B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上年度营业收入总额达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5000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万元以上，主营业务收入总额占营业收入总额比重不低于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90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%。近两年营业收入复合增长率不低于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5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%（复核企业不考查该项指标），上年末资产负债率不超过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75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w w:val="100"/>
          <w:sz w:val="32"/>
          <w:szCs w:val="32"/>
        </w:rPr>
        <w:t>。</w:t>
      </w:r>
    </w:p>
    <w:p w14:paraId="01AE66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100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近两年研发费用合计不低于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1200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万元，且每年占营业收入比重均不低于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3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。</w:t>
      </w:r>
    </w:p>
    <w:p w14:paraId="5C2D0DD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拥有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项以上与主导产品相关的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Ι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</w:rPr>
        <w:t>类知识产权，且实际应用并已产生经济效益。对近三年获得国家级科技奖励（排名前三）的企业，不考察本项指标。</w:t>
      </w:r>
    </w:p>
    <w:p w14:paraId="64ED0B3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Lines="0" w:line="54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）主导产品在国内或国际细分市场占有率达到</w:t>
      </w:r>
      <w:r>
        <w:rPr>
          <w:rFonts w:hint="eastAsia" w:ascii="Times New Roman" w:hAnsi="Times New Roman" w:eastAsia="仿宋" w:cs="Times New Roman"/>
          <w:color w:val="000000"/>
          <w:spacing w:val="0"/>
          <w:kern w:val="2"/>
          <w:sz w:val="32"/>
          <w:szCs w:val="32"/>
          <w:highlight w:val="none"/>
          <w:u w:val="none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%以上或国内前三名，且享有较高知名度、影响力。</w:t>
      </w:r>
    </w:p>
    <w:p w14:paraId="77B65D2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  <w:rPr>
          <w:rFonts w:ascii="Times New Roman" w:hAnsi="Times New Roman" w:eastAsia="仿宋_GB2312" w:cs="仿宋"/>
          <w:spacing w:val="0"/>
          <w:w w:val="10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）主导产品属于制造业核心基础零部件、核心基础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pacing w:val="0"/>
          <w:w w:val="100"/>
          <w:sz w:val="32"/>
          <w:szCs w:val="32"/>
          <w:lang w:eastAsia="zh-CN"/>
        </w:rPr>
        <w:t>器件、关键软件、先进基础工艺、关键基础材料、产业技术基础，或属于改造提升传统产业、培育壮大新兴产业、布局建设未来产业，位于产业链关键环节，对提升产业链供应链韧性和安全水平发挥重要作用</w:t>
      </w:r>
      <w:r>
        <w:rPr>
          <w:rFonts w:ascii="Times New Roman" w:hAnsi="Times New Roman" w:eastAsia="仿宋_GB2312" w:cs="仿宋"/>
          <w:spacing w:val="0"/>
          <w:w w:val="100"/>
          <w:sz w:val="32"/>
          <w:szCs w:val="32"/>
        </w:rPr>
        <w:t>。</w:t>
      </w:r>
    </w:p>
    <w:p w14:paraId="17C678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/>
        <w:autoSpaceDE w:val="0"/>
        <w:autoSpaceDN w:val="0"/>
        <w:bidi w:val="0"/>
        <w:adjustRightInd w:val="0"/>
        <w:snapToGrid w:val="0"/>
        <w:spacing w:beforeLines="0" w:line="540" w:lineRule="exact"/>
        <w:ind w:firstLine="640" w:firstLineChars="200"/>
        <w:jc w:val="both"/>
        <w:textAlignment w:val="baseline"/>
      </w:pPr>
      <w:r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仿宋"/>
          <w:spacing w:val="0"/>
          <w:w w:val="100"/>
          <w:sz w:val="32"/>
          <w:szCs w:val="32"/>
          <w:lang w:val="en-US" w:eastAsia="zh-CN"/>
        </w:rPr>
        <w:t>七）本年度中小企业专精特新发展评价得分达60分以上（复核企业近两年任意一年达60分以上即可）。指标体系见《中小企业专精特新发展评价指标体系（试行）》。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22F16"/>
    <w:rsid w:val="48422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其他省直机关单位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2026-09-17T07:23:00Z</dcterms:created>
  <dc:creator>1</dc:creator>
  <cp:lastModifiedBy>1</cp:lastModifiedBy>
  <dcterms:modified xsi:type="dcterms:W3CDTF">2026-09-17T07:24:16Z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ICV">
    <vt:lpwstr>F55C6F1826114FADA9243582AA517670_11</vt:lpwstr>
  </property>
</Properties>
</file>