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6E0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3</w:t>
      </w:r>
    </w:p>
    <w:p w14:paraId="52A5E7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专精特新“小巨人”企业认定标准</w:t>
      </w:r>
    </w:p>
    <w:p w14:paraId="6781CE9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</w:pPr>
    </w:p>
    <w:p w14:paraId="366A8A8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专精特新“小巨人”企业认定需同时满足专、精、特、新、链、品六个方面指标。</w:t>
      </w:r>
    </w:p>
    <w:p w14:paraId="1400E48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专业化指标</w:t>
      </w:r>
    </w:p>
    <w:p w14:paraId="45EDD28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坚持专业化发展道路，长期专注并深耕于产业链某一环节或某一产品。截至上年末，企业从事特定细分市场时间达到3年以上，主营业务收入总额占营业收入总额比重不低于70%，近2年主营业务收入平均增长率不低于5%。</w:t>
      </w:r>
    </w:p>
    <w:p w14:paraId="768A368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精细化指标</w:t>
      </w:r>
    </w:p>
    <w:p w14:paraId="18ABB41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重视并实施长期发展战略，公司治理规范、信誉良好、社会责任感强，生产技术、工艺及产品质量性能国内领先，注重数字化、绿色化发展，在研发设计、生产制造、供应链管理等环节，至少1项核心业务采用信息系统支撑。取得相关管理体系认证，或产品通过发达国家和地区产品认证（国际标准协会行业认证）。截至上年末，企业资产负债率不高于70%。</w:t>
      </w:r>
    </w:p>
    <w:p w14:paraId="0FE7208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三、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特色化指标</w:t>
      </w:r>
    </w:p>
    <w:p w14:paraId="067418C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技术和产品有自身独特优势，主导产品在全国细分市场占有率达到 10%以上，且享有较高知名度和影响力。拥有直接面向市场并具有竞争优势的自主品牌。</w:t>
      </w:r>
    </w:p>
    <w:p w14:paraId="63A0B59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四、创新能力指标</w:t>
      </w:r>
    </w:p>
    <w:p w14:paraId="3F63C04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满足一般性条件或创新直通条件。</w:t>
      </w:r>
    </w:p>
    <w:p w14:paraId="7973A59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（一）一般性条件。需同时满足以下三项：</w:t>
      </w:r>
    </w:p>
    <w:p w14:paraId="177AA82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营业收入总额在1亿元以上的企业，近2年研发费用总额占营业收入总额比重均不低于3%；上年度营业收入总额在5000万元—1亿元的企业，近2年研发费用总额占营业收入总额比重均不低于6%；上年度营业收入总额在5000万元以下的企业，同时满足近2年新增股权融资总额（合格机构投资者的实缴额）8000万元以上，且研发费用总额3000 万元以上、研发人员占企业职工总数比重50%以上。</w:t>
      </w:r>
    </w:p>
    <w:p w14:paraId="32E7D31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2.自建或与高等院校、科研机构联合建立研发机构，设立技术研究院、企业技术中心、企业工程中心、院士专家工作站、博士后工作站等。</w:t>
      </w:r>
    </w:p>
    <w:p w14:paraId="6F4B6CA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3.拥有2项以上与主导产品相关的Ⅰ类知识产权，且实际应用并已产生经济效益。</w:t>
      </w:r>
    </w:p>
    <w:p w14:paraId="71C5FDA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（二）创新直通条件。满足以下一项即可：</w:t>
      </w:r>
    </w:p>
    <w:p w14:paraId="35E0B90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1.近三年获得国家级科技奖励，并在获奖单位中排名前三。</w:t>
      </w:r>
    </w:p>
    <w:p w14:paraId="5BD1675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2.近三年进入“创客中国”中小企业创新创业大赛全国50强企业组名单。</w:t>
      </w:r>
    </w:p>
    <w:p w14:paraId="1259B5D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五、产业链配套指标</w:t>
      </w:r>
    </w:p>
    <w:p w14:paraId="1564AE6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位于产业链关键环节，围绕重点产业链实现关键基础技术和产品的产业化应用，发挥“补短板”“锻长板”“填空白”等重要作用。</w:t>
      </w:r>
    </w:p>
    <w:p w14:paraId="0232BBA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六、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主导产品所属领域指标</w:t>
      </w:r>
    </w:p>
    <w:p w14:paraId="138E4AD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  <w:t>主导产品原则上属于以下重点领域：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2FBE"/>
    <w:rsid w:val="54AD1896"/>
    <w:rsid w:val="624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3</Pages>
  <Words>984</Words>
  <Characters>1016</Characters>
  <Lines>0</Lines>
  <Paragraphs>0</Paragraphs>
  <TotalTime>0</TotalTime>
  <ScaleCrop>false</ScaleCrop>
  <LinksUpToDate>false</LinksUpToDate>
  <CharactersWithSpaces>1018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2024-07-23T08:05:00Z</dcterms:created>
  <dc:creator>false</dc:creator>
  <cp:lastModifiedBy>叛逆宠儿</cp:lastModifiedBy>
  <dcterms:modified xsi:type="dcterms:W3CDTF">2024-07-23T10:24:42Z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C2013163296246BFB3E77BE54B90827F_13</vt:lpwstr>
  </property>
</Properties>
</file>