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DC5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0"/>
        <w:jc w:val="both"/>
        <w:outlineLvl w:val="0"/>
        <w:rPr>
          <w:rFonts w:hint="default" w:ascii="Times New Roman" w:hAnsi="Times New Roman" w:eastAsia="仿宋_GB2312" w:cs="Times New Roman"/>
          <w:spacing w:val="-12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</w:t>
      </w:r>
    </w:p>
    <w:p w14:paraId="026C0E6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微软雅黑" w:cs="Times New Roman"/>
          <w:kern w:val="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spacing w:val="12"/>
          <w:kern w:val="2"/>
          <w:sz w:val="44"/>
          <w:szCs w:val="44"/>
        </w:rPr>
        <w:t>创</w:t>
      </w:r>
      <w:r>
        <w:rPr>
          <w:rFonts w:hint="default" w:ascii="Times New Roman" w:hAnsi="Times New Roman" w:eastAsia="方正小标宋简体" w:cs="Times New Roman"/>
          <w:spacing w:val="9"/>
          <w:kern w:val="2"/>
          <w:sz w:val="44"/>
          <w:szCs w:val="44"/>
        </w:rPr>
        <w:t>新型中小企业评价标准</w:t>
      </w:r>
    </w:p>
    <w:p w14:paraId="1161CBB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56" w:firstLineChars="200"/>
        <w:jc w:val="both"/>
        <w:rPr>
          <w:rFonts w:hint="default" w:ascii="Times New Roman" w:hAnsi="Times New Roman" w:eastAsia="黑体" w:cs="Times New Roman"/>
          <w:spacing w:val="9"/>
          <w:kern w:val="2"/>
          <w:position w:val="4"/>
          <w:sz w:val="31"/>
          <w:szCs w:val="31"/>
          <w:lang w:bidi="ar-SA"/>
        </w:rPr>
      </w:pPr>
    </w:p>
    <w:p w14:paraId="59BA371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一、公告条件</w:t>
      </w:r>
    </w:p>
    <w:p w14:paraId="5E7F540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评价得分达到60分以上（其中创新能力指标得分不低于20分、成长性指标及专业化指标得分均不低于15分），或满足下列条件之一：</w:t>
      </w:r>
    </w:p>
    <w:p w14:paraId="6BD8FA5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（一）近三年内获得过国家级、省级科技奖励。</w:t>
      </w:r>
    </w:p>
    <w:p w14:paraId="1D3240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 w14:paraId="0A52A61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（三）拥有经认定的省部级以上研发机构。</w:t>
      </w:r>
    </w:p>
    <w:p w14:paraId="77869AF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（四）近三年新增股权融资总额（合格机构投资者的实缴额）500万元以上。</w:t>
      </w:r>
    </w:p>
    <w:p w14:paraId="4DF7082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二、评价指标</w:t>
      </w:r>
    </w:p>
    <w:p w14:paraId="5362A9F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包括创新能力、成长性、专业化三类六个指标，评价结果依分值计算，满分为 100 分。</w:t>
      </w:r>
    </w:p>
    <w:p w14:paraId="1DFEF4B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  <w:t>（一）创新能力指标（满分40分）</w:t>
      </w:r>
    </w:p>
    <w:p w14:paraId="7B22BAB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1.与企业主导产品相关的有效知识产权数量（满分20分）</w:t>
      </w:r>
    </w:p>
    <w:p w14:paraId="49536AF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A.Ⅰ类高价值知识产权1项以上（20分）</w:t>
      </w:r>
    </w:p>
    <w:p w14:paraId="0159F1F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B.自主研发的Ⅰ类知识产权1项以上（15分）</w:t>
      </w:r>
    </w:p>
    <w:p w14:paraId="3DBEC36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C.Ⅰ类知识产权1项以上（10分）</w:t>
      </w:r>
    </w:p>
    <w:p w14:paraId="3A3EDD1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D.Ⅱ类知识产权1项以上（5分）</w:t>
      </w:r>
    </w:p>
    <w:p w14:paraId="62B5F19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E.无（0分）</w:t>
      </w:r>
    </w:p>
    <w:p w14:paraId="5D48B8F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2.上年度研发费用总额占营业收入总额比重（满分20分）</w:t>
      </w:r>
    </w:p>
    <w:p w14:paraId="24D5856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A.5%以上（20分）</w:t>
      </w:r>
    </w:p>
    <w:p w14:paraId="7CA5A9D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B.3%-5%（15分）</w:t>
      </w:r>
    </w:p>
    <w:p w14:paraId="2E62E0E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C.2%-3%（10分）</w:t>
      </w:r>
    </w:p>
    <w:p w14:paraId="33F996D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D.1%-2%（5分）</w:t>
      </w:r>
    </w:p>
    <w:bookmarkEnd w:id="0"/>
    <w:p w14:paraId="7BC2935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E.1%以下（0分）</w:t>
      </w:r>
    </w:p>
    <w:p w14:paraId="75FCFB0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（二）成长性指标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  <w:t>（满分30分）</w:t>
      </w:r>
    </w:p>
    <w:p w14:paraId="00C22B5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3.上年度主营业务收入增长率（满分20分）</w:t>
      </w:r>
    </w:p>
    <w:p w14:paraId="2CD274F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A.15%以上（20分）</w:t>
      </w:r>
    </w:p>
    <w:p w14:paraId="124FDE5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B.10%-15%（15分）</w:t>
      </w:r>
    </w:p>
    <w:p w14:paraId="7C8FAC7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C.5%-10%（10分）</w:t>
      </w:r>
    </w:p>
    <w:p w14:paraId="3379225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D.0%-5%（5分）</w:t>
      </w:r>
    </w:p>
    <w:p w14:paraId="7338D5A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E.0%以下（0分）</w:t>
      </w:r>
    </w:p>
    <w:p w14:paraId="3FB6CDD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4.上年度资产负债率（满分10分）</w:t>
      </w:r>
    </w:p>
    <w:p w14:paraId="5ABB7CF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A.55%以下（10分）</w:t>
      </w:r>
    </w:p>
    <w:p w14:paraId="04EE93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B.55%-75%（5分）</w:t>
      </w:r>
    </w:p>
    <w:p w14:paraId="117F604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C.75%以上（0分）</w:t>
      </w:r>
    </w:p>
    <w:p w14:paraId="62545D0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（三）专业化指标（满分30分）</w:t>
      </w:r>
    </w:p>
    <w:p w14:paraId="0CBE08A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5.主导产品所属领域情况（满分10分）</w:t>
      </w:r>
    </w:p>
    <w:p w14:paraId="24EB62E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A.属于《战略性新兴产业分类》（10分）</w:t>
      </w:r>
    </w:p>
    <w:p w14:paraId="021941B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B.属于其他领域（5分）</w:t>
      </w:r>
    </w:p>
    <w:p w14:paraId="1897CB6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6.上年度主营业务收入总额占营业收入总额比重（满分20分）</w:t>
      </w:r>
    </w:p>
    <w:p w14:paraId="53E437C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A.70%以上（20分）</w:t>
      </w:r>
    </w:p>
    <w:p w14:paraId="6CF36A4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B.60%-70%（15分）</w:t>
      </w:r>
    </w:p>
    <w:p w14:paraId="6D1C635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C.55%-60%（10分）</w:t>
      </w:r>
    </w:p>
    <w:p w14:paraId="34D6F68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.50%-55%（5分）</w:t>
      </w:r>
    </w:p>
    <w:p w14:paraId="65BBBA9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.50%以下（0分）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46CF"/>
    <w:rsid w:val="29944320"/>
    <w:rsid w:val="32C846CF"/>
    <w:rsid w:val="5303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3</Pages>
  <Words>624</Words>
  <Characters>770</Characters>
  <Lines>0</Lines>
  <Paragraphs>0</Paragraphs>
  <TotalTime>0</TotalTime>
  <ScaleCrop>false</ScaleCrop>
  <LinksUpToDate>false</LinksUpToDate>
  <CharactersWithSpaces>772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2024-07-23T08:03:00Z</dcterms:created>
  <dc:creator>false</dc:creator>
  <cp:lastModifiedBy>叛逆宠儿</cp:lastModifiedBy>
  <dcterms:modified xsi:type="dcterms:W3CDTF">2024-07-23T10:24:26Z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40716790A31049BE89D287BDFD1891AE_13</vt:lpwstr>
  </property>
</Properties>
</file>