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left="30" w:right="30" w:firstLine="862"/>
        <w:jc w:val="left"/>
        <w:rPr>
          <w:rFonts w:cs="宋体" w:asciiTheme="minorEastAsia" w:hAnsiTheme="minorEastAsia" w:eastAsiaTheme="minorEastAsia"/>
          <w:color w:val="auto"/>
          <w:kern w:val="0"/>
          <w:sz w:val="44"/>
          <w:szCs w:val="44"/>
          <w:lang w:bidi="ar"/>
        </w:rPr>
      </w:pPr>
    </w:p>
    <w:p>
      <w:pPr>
        <w:widowControl/>
        <w:spacing w:line="560" w:lineRule="exact"/>
        <w:jc w:val="center"/>
        <w:rPr>
          <w:rFonts w:ascii="方正小标宋简体" w:eastAsia="方正小标宋简体"/>
          <w:color w:val="auto"/>
          <w:sz w:val="44"/>
          <w:szCs w:val="44"/>
        </w:rPr>
      </w:pPr>
      <w:r>
        <w:rPr>
          <w:rFonts w:hint="eastAsia" w:asciiTheme="minorEastAsia" w:hAnsiTheme="minorEastAsia" w:eastAsiaTheme="minorEastAsia"/>
          <w:color w:val="auto"/>
          <w:kern w:val="0"/>
          <w:sz w:val="44"/>
          <w:szCs w:val="44"/>
          <w:lang w:bidi="ar"/>
        </w:rPr>
        <w:t xml:space="preserve"> </w:t>
      </w:r>
      <w:r>
        <w:rPr>
          <w:rFonts w:hint="eastAsia" w:ascii="方正小标宋简体" w:eastAsia="方正小标宋简体"/>
          <w:color w:val="auto"/>
          <w:sz w:val="44"/>
          <w:szCs w:val="44"/>
        </w:rPr>
        <w:t>2024年</w:t>
      </w:r>
      <w:r>
        <w:rPr>
          <w:rFonts w:hint="eastAsia" w:ascii="方正小标宋简体" w:hAnsi="宋体" w:eastAsia="方正小标宋简体"/>
          <w:color w:val="auto"/>
          <w:kern w:val="0"/>
          <w:sz w:val="44"/>
          <w:szCs w:val="44"/>
          <w:lang w:bidi="ar"/>
        </w:rPr>
        <w:t>市工业和信息化局</w:t>
      </w:r>
      <w:r>
        <w:rPr>
          <w:rFonts w:hint="eastAsia" w:ascii="方正小标宋简体" w:eastAsia="方正小标宋简体"/>
          <w:color w:val="auto"/>
          <w:sz w:val="44"/>
          <w:szCs w:val="44"/>
        </w:rPr>
        <w:t>软件产业高质量</w:t>
      </w:r>
    </w:p>
    <w:p>
      <w:pPr>
        <w:widowControl/>
        <w:spacing w:line="560" w:lineRule="exact"/>
        <w:jc w:val="center"/>
        <w:rPr>
          <w:rFonts w:ascii="方正小标宋简体" w:hAnsi="宋体" w:eastAsia="方正小标宋简体"/>
          <w:color w:val="auto"/>
          <w:kern w:val="0"/>
          <w:sz w:val="44"/>
          <w:szCs w:val="44"/>
          <w:lang w:bidi="ar"/>
        </w:rPr>
      </w:pPr>
      <w:r>
        <w:rPr>
          <w:rFonts w:hint="eastAsia" w:ascii="方正小标宋简体" w:hAnsi="宋体" w:eastAsia="方正小标宋简体"/>
          <w:color w:val="auto"/>
          <w:kern w:val="0"/>
          <w:sz w:val="44"/>
          <w:szCs w:val="44"/>
          <w:lang w:bidi="ar"/>
        </w:rPr>
        <w:t>发展应用推广体系扶持计划重大开源</w:t>
      </w:r>
    </w:p>
    <w:p>
      <w:pPr>
        <w:widowControl/>
        <w:spacing w:line="560" w:lineRule="exact"/>
        <w:jc w:val="center"/>
        <w:rPr>
          <w:rFonts w:ascii="方正小标宋简体" w:eastAsia="方正小标宋简体"/>
          <w:color w:val="auto"/>
          <w:sz w:val="44"/>
          <w:szCs w:val="44"/>
        </w:rPr>
      </w:pPr>
      <w:r>
        <w:rPr>
          <w:rFonts w:hint="eastAsia" w:ascii="方正小标宋简体" w:hAnsi="宋体" w:eastAsia="方正小标宋简体"/>
          <w:color w:val="auto"/>
          <w:kern w:val="0"/>
          <w:sz w:val="44"/>
          <w:szCs w:val="44"/>
          <w:lang w:bidi="ar"/>
        </w:rPr>
        <w:t>项目商业发行版软件推广应用项目申请</w:t>
      </w:r>
      <w:r>
        <w:rPr>
          <w:rFonts w:hint="eastAsia" w:ascii="方正小标宋简体" w:eastAsia="方正小标宋简体"/>
          <w:color w:val="auto"/>
          <w:sz w:val="44"/>
          <w:szCs w:val="44"/>
        </w:rPr>
        <w:t>指南</w:t>
      </w:r>
    </w:p>
    <w:p>
      <w:pPr>
        <w:widowControl/>
        <w:spacing w:line="560" w:lineRule="exact"/>
        <w:jc w:val="center"/>
        <w:rPr>
          <w:rFonts w:asciiTheme="minorEastAsia" w:hAnsiTheme="minorEastAsia" w:eastAsiaTheme="minorEastAsia"/>
          <w:color w:val="auto"/>
          <w:kern w:val="0"/>
          <w:sz w:val="44"/>
          <w:szCs w:val="44"/>
          <w:lang w:bidi="ar"/>
        </w:rPr>
      </w:pPr>
    </w:p>
    <w:p>
      <w:pPr>
        <w:widowControl/>
        <w:spacing w:line="560" w:lineRule="exact"/>
        <w:ind w:left="30" w:right="30" w:firstLine="420" w:firstLineChars="200"/>
        <w:jc w:val="left"/>
        <w:rPr>
          <w:rFonts w:asciiTheme="minorEastAsia" w:hAnsiTheme="minorEastAsia" w:eastAsiaTheme="minorEastAsia"/>
          <w:color w:val="auto"/>
        </w:rPr>
      </w:pP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一、</w:t>
      </w:r>
      <w:r>
        <w:rPr>
          <w:rFonts w:hint="eastAsia" w:ascii="黑体" w:hAnsi="黑体" w:eastAsia="黑体" w:cstheme="majorBidi"/>
          <w:b w:val="0"/>
          <w:color w:val="auto"/>
        </w:rPr>
        <w:t>资助的项目类别</w:t>
      </w:r>
    </w:p>
    <w:p>
      <w:pPr>
        <w:pStyle w:val="2"/>
        <w:spacing w:line="560" w:lineRule="exact"/>
        <w:ind w:firstLine="640"/>
        <w:rPr>
          <w:rFonts w:ascii="仿宋_GB2312" w:hAnsi="仿宋_GB2312" w:cs="仿宋_GB2312"/>
          <w:color w:val="auto"/>
          <w:szCs w:val="32"/>
        </w:rPr>
      </w:pPr>
      <w:r>
        <w:rPr>
          <w:rFonts w:hint="eastAsia" w:ascii="仿宋_GB2312" w:hAnsi="仿宋_GB2312" w:cs="仿宋_GB2312"/>
          <w:color w:val="auto"/>
          <w:szCs w:val="32"/>
        </w:rPr>
        <w:t>软件企业基于重大开源项目组织实施的，二次开发形成商业发行版软件产品（操作系统、数据库等）及服务并实现产业化销售的项目。</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二、设定依据</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（一）《深圳市人民政府关于印发推动软件产业高质量发展的若干措施的通知》（深府规〔2022〕5号）；</w:t>
      </w:r>
    </w:p>
    <w:p>
      <w:pPr>
        <w:widowControl/>
        <w:spacing w:line="560" w:lineRule="exact"/>
        <w:ind w:firstLine="640" w:firstLineChars="200"/>
        <w:jc w:val="left"/>
        <w:rPr>
          <w:color w:val="auto"/>
        </w:rPr>
      </w:pPr>
      <w:r>
        <w:rPr>
          <w:rFonts w:hint="eastAsia" w:ascii="仿宋_GB2312" w:hAnsi="宋体" w:eastAsia="仿宋_GB2312" w:cs="宋体"/>
          <w:color w:val="auto"/>
          <w:kern w:val="0"/>
          <w:sz w:val="32"/>
          <w:szCs w:val="32"/>
          <w:lang w:bidi="ar"/>
        </w:rPr>
        <w:t>（二）《深圳市市级财政专项资金管理办法》(深府规〔2018〕12号)；</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（三）《深圳市工业和信息化局软件产业高质量发展项目扶持计划操作规程》（深工信规〔2023〕9号）。</w:t>
      </w:r>
    </w:p>
    <w:p>
      <w:pPr>
        <w:pStyle w:val="3"/>
        <w:numPr>
          <w:ilvl w:val="255"/>
          <w:numId w:val="0"/>
        </w:numPr>
        <w:tabs>
          <w:tab w:val="left" w:pos="1418"/>
        </w:tabs>
        <w:spacing w:before="0" w:after="0" w:line="560" w:lineRule="exact"/>
        <w:ind w:left="464" w:leftChars="221"/>
        <w:rPr>
          <w:rFonts w:hint="eastAsia" w:ascii="黑体" w:hAnsi="黑体" w:eastAsia="黑体"/>
          <w:b w:val="0"/>
          <w:color w:val="auto"/>
        </w:rPr>
      </w:pPr>
      <w:r>
        <w:rPr>
          <w:rFonts w:hint="eastAsia" w:ascii="黑体" w:hAnsi="黑体" w:eastAsia="黑体"/>
          <w:b w:val="0"/>
          <w:color w:val="auto"/>
        </w:rPr>
        <w:t>三、</w:t>
      </w:r>
      <w:r>
        <w:rPr>
          <w:rFonts w:hint="eastAsia" w:ascii="黑体" w:hAnsi="黑体" w:eastAsia="黑体" w:cstheme="majorBidi"/>
          <w:b w:val="0"/>
          <w:color w:val="auto"/>
          <w:kern w:val="2"/>
        </w:rPr>
        <w:t>资助的方式和标准以及费用范围</w:t>
      </w:r>
    </w:p>
    <w:p>
      <w:pPr>
        <w:spacing w:line="560" w:lineRule="exact"/>
        <w:ind w:firstLine="640" w:firstLineChars="20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p>
    <w:p>
      <w:pPr>
        <w:pStyle w:val="22"/>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bidi="ar"/>
        </w:rPr>
        <w:t>对软件企业基于重大开源项目组织实施的，二次开发形成商业发行版软件产品（操作系统、数据库等）及服务并实现产业化销售的项目。</w:t>
      </w:r>
      <w:r>
        <w:rPr>
          <w:rFonts w:hint="eastAsia" w:ascii="仿宋_GB2312" w:hAnsi="Times New Roman" w:eastAsia="仿宋_GB2312" w:cs="Calibri"/>
          <w:color w:val="auto"/>
          <w:sz w:val="32"/>
          <w:szCs w:val="32"/>
          <w:lang w:bidi="ar"/>
        </w:rPr>
        <w:t>项目资助标准为</w:t>
      </w:r>
      <w:r>
        <w:rPr>
          <w:rFonts w:hint="eastAsia" w:ascii="仿宋_GB2312" w:hAnsi="仿宋_GB2312" w:eastAsia="仿宋_GB2312" w:cs="仿宋_GB2312"/>
          <w:color w:val="auto"/>
          <w:kern w:val="0"/>
          <w:sz w:val="32"/>
          <w:szCs w:val="32"/>
          <w:lang w:bidi="ar"/>
        </w:rPr>
        <w:t>按照不超过申报指南发布前一周期年度内上述商业发行版软件产品及服务审定销售额（实际到账额）的30%，给予软件企业最高1000万元资助。</w:t>
      </w:r>
    </w:p>
    <w:p>
      <w:pPr>
        <w:autoSpaceDE w:val="0"/>
        <w:spacing w:line="560" w:lineRule="exact"/>
        <w:ind w:firstLine="640" w:firstLineChars="200"/>
        <w:contextualSpacing/>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p>
    <w:p>
      <w:pPr>
        <w:adjustRightInd/>
        <w:snapToGrid/>
        <w:spacing w:line="560" w:lineRule="exact"/>
        <w:ind w:firstLine="640" w:firstLineChars="200"/>
        <w:outlineLvl w:val="9"/>
        <w:rPr>
          <w:rFonts w:hint="eastAsia" w:ascii="仿宋_GB2312" w:hAnsi="仿宋_GB2312" w:eastAsia="仿宋_GB2312" w:cs="仿宋_GB2312"/>
          <w:color w:val="auto"/>
          <w:kern w:val="2"/>
          <w:sz w:val="32"/>
          <w:szCs w:val="32"/>
        </w:rPr>
      </w:pPr>
      <w:r>
        <w:rPr>
          <w:rFonts w:hint="eastAsia" w:ascii="仿宋_GB2312" w:hAnsi="Times New Roman" w:eastAsia="仿宋_GB2312" w:cs="Calibri"/>
          <w:color w:val="auto"/>
          <w:sz w:val="32"/>
          <w:szCs w:val="32"/>
        </w:rPr>
        <w:t>项目资助费用范围是</w:t>
      </w:r>
      <w:r>
        <w:rPr>
          <w:rFonts w:hint="eastAsia" w:ascii="仿宋_GB2312" w:hAnsi="仿宋_GB2312" w:eastAsia="仿宋_GB2312" w:cs="仿宋_GB2312"/>
          <w:color w:val="auto"/>
          <w:kern w:val="0"/>
          <w:sz w:val="32"/>
          <w:szCs w:val="32"/>
          <w:lang w:bidi="ar"/>
        </w:rPr>
        <w:t>申报指南发布前一周期年度内上述商业发行版软件产品及服务审定销售额（实际到账额）的30%。</w:t>
      </w:r>
      <w:r>
        <w:rPr>
          <w:rFonts w:hint="eastAsia" w:ascii="仿宋_GB2312" w:hAnsi="仿宋_GB2312" w:eastAsia="仿宋_GB2312" w:cs="仿宋_GB2312"/>
          <w:color w:val="auto"/>
          <w:sz w:val="32"/>
          <w:szCs w:val="32"/>
        </w:rPr>
        <w:t>其中，软件服务是指：系统管理及运维软件产品、软件定制开发及运维人力成本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rPr>
        <w:t>（实际资助的额度，受专项资金年度预算总额控制）</w:t>
      </w:r>
    </w:p>
    <w:p>
      <w:pPr>
        <w:widowControl/>
        <w:numPr>
          <w:ilvl w:val="0"/>
          <w:numId w:val="1"/>
        </w:numPr>
        <w:spacing w:line="560" w:lineRule="exact"/>
        <w:ind w:firstLine="640" w:firstLineChars="200"/>
        <w:contextualSpacing/>
        <w:jc w:val="left"/>
        <w:outlineLvl w:val="0"/>
        <w:rPr>
          <w:rFonts w:ascii="黑体" w:hAnsi="黑体" w:eastAsia="黑体" w:cstheme="majorBidi"/>
          <w:bCs/>
          <w:color w:val="auto"/>
          <w:sz w:val="32"/>
          <w:szCs w:val="32"/>
        </w:rPr>
      </w:pPr>
      <w:r>
        <w:rPr>
          <w:rFonts w:hint="eastAsia" w:ascii="黑体" w:hAnsi="黑体" w:eastAsia="黑体" w:cs="仿宋_GB2312"/>
          <w:bCs/>
          <w:color w:val="auto"/>
          <w:sz w:val="32"/>
          <w:szCs w:val="32"/>
        </w:rPr>
        <w:t>项目申报条件</w:t>
      </w:r>
    </w:p>
    <w:p>
      <w:pPr>
        <w:wordWrap w:val="0"/>
        <w:autoSpaceDE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申报条件由</w:t>
      </w:r>
      <w:r>
        <w:rPr>
          <w:rFonts w:hint="eastAsia" w:ascii="仿宋_GB2312" w:eastAsia="仿宋_GB2312"/>
          <w:b/>
          <w:color w:val="auto"/>
          <w:sz w:val="32"/>
          <w:szCs w:val="32"/>
        </w:rPr>
        <w:t>基础条件</w:t>
      </w:r>
      <w:r>
        <w:rPr>
          <w:rFonts w:hint="eastAsia" w:ascii="仿宋_GB2312" w:eastAsia="仿宋_GB2312"/>
          <w:color w:val="auto"/>
          <w:sz w:val="32"/>
          <w:szCs w:val="32"/>
        </w:rPr>
        <w:t>和</w:t>
      </w:r>
      <w:r>
        <w:rPr>
          <w:rFonts w:hint="eastAsia" w:ascii="仿宋_GB2312" w:eastAsia="仿宋_GB2312"/>
          <w:b/>
          <w:color w:val="auto"/>
          <w:sz w:val="32"/>
          <w:szCs w:val="32"/>
        </w:rPr>
        <w:t>专项条件</w:t>
      </w:r>
      <w:r>
        <w:rPr>
          <w:rFonts w:hint="eastAsia" w:ascii="仿宋_GB2312" w:eastAsia="仿宋_GB2312"/>
          <w:color w:val="auto"/>
          <w:sz w:val="32"/>
          <w:szCs w:val="32"/>
        </w:rPr>
        <w:t>两部分组成</w:t>
      </w:r>
    </w:p>
    <w:p>
      <w:pPr>
        <w:autoSpaceDE w:val="0"/>
        <w:spacing w:line="560" w:lineRule="exact"/>
        <w:ind w:firstLine="643" w:firstLineChars="200"/>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pPr>
        <w:pStyle w:val="22"/>
        <w:numPr>
          <w:ilvl w:val="0"/>
          <w:numId w:val="2"/>
        </w:numPr>
        <w:spacing w:line="560" w:lineRule="exact"/>
        <w:ind w:firstLine="640" w:firstLineChars="200"/>
        <w:rPr>
          <w:rFonts w:ascii="仿宋_GB2312" w:hAnsi="Times New Roman" w:eastAsia="仿宋_GB2312" w:cs="Calibri"/>
          <w:color w:val="auto"/>
          <w:sz w:val="32"/>
          <w:szCs w:val="32"/>
          <w:lang w:bidi="ar"/>
        </w:rPr>
      </w:pPr>
      <w:r>
        <w:rPr>
          <w:rFonts w:hint="eastAsia" w:ascii="仿宋_GB2312" w:hAnsi="仿宋_GB2312" w:eastAsia="仿宋_GB2312" w:cs="仿宋_GB2312"/>
          <w:color w:val="auto"/>
          <w:sz w:val="32"/>
          <w:szCs w:val="32"/>
        </w:rPr>
        <w:t>申报单位</w:t>
      </w:r>
      <w:r>
        <w:rPr>
          <w:rFonts w:hint="eastAsia" w:ascii="仿宋_GB2312" w:hAnsi="Times New Roman" w:eastAsia="仿宋_GB2312" w:cs="Calibri"/>
          <w:color w:val="auto"/>
          <w:sz w:val="32"/>
          <w:szCs w:val="32"/>
          <w:lang w:bidi="ar"/>
        </w:rPr>
        <w:t>在深圳市内实际从事经营活动，具有独立法人资格的企业；</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（二）</w:t>
      </w:r>
      <w:r>
        <w:rPr>
          <w:rFonts w:hint="eastAsia" w:ascii="仿宋_GB2312" w:hAnsi="仿宋_GB2312" w:eastAsia="仿宋_GB2312" w:cs="仿宋_GB2312"/>
          <w:color w:val="auto"/>
          <w:sz w:val="32"/>
          <w:szCs w:val="32"/>
          <w:lang w:bidi="ar"/>
        </w:rPr>
        <w:t>申报单位</w:t>
      </w:r>
      <w:r>
        <w:rPr>
          <w:rStyle w:val="24"/>
          <w:rFonts w:hint="eastAsia" w:ascii="仿宋_GB2312" w:hAnsi="宋体" w:eastAsia="仿宋_GB2312" w:cs="仿宋_GB2312"/>
          <w:color w:val="auto"/>
          <w:kern w:val="0"/>
          <w:sz w:val="32"/>
          <w:szCs w:val="32"/>
          <w:lang w:bidi="ar"/>
        </w:rPr>
        <w:t>未被列入严重失信主体名单</w:t>
      </w:r>
      <w:r>
        <w:rPr>
          <w:rFonts w:hint="eastAsia" w:ascii="仿宋_GB2312" w:hAnsi="仿宋_GB2312" w:eastAsia="仿宋_GB2312" w:cs="仿宋_GB2312"/>
          <w:color w:val="auto"/>
          <w:sz w:val="32"/>
          <w:szCs w:val="32"/>
          <w:lang w:bidi="ar"/>
        </w:rPr>
        <w:t>；</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（三）项目实施地在深圳；</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（四）申报单位提交的营业收入等经营指标数据，与报送市统计部门的数据一致或在允许的误差范围内；</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（五）不存在就同一建设内容相同或部分内容相同的项目向市有关部门进行多头申报的情形；</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（六）资助项目不属于政府投资建设或购买服务的项目；</w:t>
      </w:r>
    </w:p>
    <w:p>
      <w:pPr>
        <w:adjustRightInd w:val="0"/>
        <w:snapToGrid w:val="0"/>
        <w:spacing w:line="560" w:lineRule="exact"/>
        <w:ind w:firstLine="640" w:firstLineChars="200"/>
        <w:rPr>
          <w:rFonts w:ascii="仿宋_GB2312" w:eastAsia="仿宋_GB2312" w:cs="仿宋_GB2312"/>
          <w:b/>
          <w:color w:val="auto"/>
          <w:sz w:val="32"/>
          <w:szCs w:val="32"/>
        </w:rPr>
      </w:pPr>
      <w:r>
        <w:rPr>
          <w:rStyle w:val="24"/>
          <w:rFonts w:hint="eastAsia" w:ascii="仿宋_GB2312" w:hAnsi="宋体" w:eastAsia="仿宋_GB2312" w:cs="仿宋_GB2312"/>
          <w:color w:val="auto"/>
          <w:kern w:val="0"/>
          <w:sz w:val="32"/>
          <w:szCs w:val="32"/>
          <w:lang w:bidi="ar"/>
        </w:rPr>
        <w:t>（七）法律、法规、规章和上级行政机关规范性文件规定的其他条件；</w:t>
      </w:r>
    </w:p>
    <w:p>
      <w:pPr>
        <w:adjustRightInd w:val="0"/>
        <w:snapToGrid w:val="0"/>
        <w:spacing w:line="560" w:lineRule="exact"/>
        <w:ind w:firstLine="640" w:firstLineChars="200"/>
        <w:outlineLvl w:val="0"/>
        <w:rPr>
          <w:rFonts w:hint="eastAsia" w:asci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bidi="ar"/>
        </w:rPr>
        <w:t>（八）申报单位为软件企业，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r>
        <w:rPr>
          <w:rFonts w:hint="eastAsia" w:ascii="仿宋_GB2312" w:hAnsi="仿宋_GB2312" w:eastAsia="仿宋_GB2312" w:cs="仿宋_GB2312"/>
          <w:color w:val="auto"/>
          <w:sz w:val="32"/>
          <w:szCs w:val="32"/>
          <w:highlight w:val="none"/>
          <w:lang w:eastAsia="zh-CN" w:bidi="ar"/>
        </w:rPr>
        <w:t>。</w:t>
      </w:r>
    </w:p>
    <w:p>
      <w:pPr>
        <w:autoSpaceDE w:val="0"/>
        <w:spacing w:line="560" w:lineRule="exact"/>
        <w:ind w:firstLine="643" w:firstLineChars="200"/>
        <w:outlineLvl w:val="0"/>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专项条件：</w:t>
      </w:r>
    </w:p>
    <w:p>
      <w:pPr>
        <w:pStyle w:val="2"/>
        <w:spacing w:line="560" w:lineRule="exact"/>
        <w:ind w:firstLine="640"/>
        <w:rPr>
          <w:rFonts w:hint="eastAsia"/>
        </w:rPr>
      </w:pPr>
      <w:r>
        <w:rPr>
          <w:rFonts w:hint="eastAsia" w:ascii="仿宋_GB2312" w:hAnsi="仿宋_GB2312" w:cs="仿宋_GB2312"/>
          <w:color w:val="auto"/>
          <w:szCs w:val="32"/>
        </w:rPr>
        <w:t>（一）重大开源项目是指深圳企业及其子公司捐赠的、开放原子开源基金会名单内的开源项目，开源项目为开源终端操作系统的需应用规模超过3亿台；开源项目为开源服务器操作系统的，开源项目捐赠企业在Linux Kernel社区近一年各内核版本中均进入修改集合排行榜；其他的重大开源项目，需经市政府审议批准。</w:t>
      </w:r>
    </w:p>
    <w:p>
      <w:pPr>
        <w:spacing w:line="560" w:lineRule="exact"/>
        <w:ind w:firstLine="640" w:firstLineChars="200"/>
        <w:outlineLvl w:val="0"/>
        <w:rPr>
          <w:rFonts w:ascii="仿宋_GB2312" w:hAnsi="仿宋_GB2312" w:eastAsia="仿宋_GB2312" w:cs="仿宋_GB2312"/>
          <w:color w:val="auto"/>
          <w:sz w:val="32"/>
          <w:szCs w:val="32"/>
        </w:rPr>
      </w:pPr>
      <w:bookmarkStart w:id="0" w:name="_Hlk144913575"/>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）申报项目应基于重大开源项目二次开发，并获得重大开源项目开源社区的认证；</w:t>
      </w:r>
    </w:p>
    <w:bookmarkEnd w:id="0"/>
    <w:p>
      <w:pPr>
        <w:spacing w:line="560" w:lineRule="exact"/>
        <w:ind w:firstLine="640" w:firstLineChars="200"/>
        <w:outlineLvl w:val="0"/>
        <w:rPr>
          <w:rFonts w:ascii="仿宋_GB2312" w:hAnsi="仿宋_GB2312" w:eastAsia="仿宋_GB2312" w:cs="仿宋_GB2312"/>
          <w:color w:val="auto"/>
          <w:sz w:val="32"/>
          <w:szCs w:val="32"/>
        </w:rPr>
      </w:pPr>
      <w:bookmarkStart w:id="1" w:name="_Hlk144913589"/>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）申报项目在申报指南发布前一周期年度内销售额不低于500万元。</w:t>
      </w:r>
      <w:bookmarkEnd w:id="1"/>
    </w:p>
    <w:p>
      <w:pPr>
        <w:widowControl/>
        <w:spacing w:line="560" w:lineRule="exact"/>
        <w:ind w:firstLine="640" w:firstLineChars="200"/>
        <w:jc w:val="left"/>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五、</w:t>
      </w:r>
      <w:r>
        <w:rPr>
          <w:rFonts w:hint="eastAsia" w:ascii="黑体" w:hAnsi="黑体" w:eastAsia="黑体"/>
          <w:color w:val="auto"/>
          <w:kern w:val="0"/>
          <w:sz w:val="32"/>
          <w:szCs w:val="32"/>
        </w:rPr>
        <w:t>项目的申报材料</w:t>
      </w:r>
      <w:r>
        <w:rPr>
          <w:rFonts w:hint="eastAsia" w:ascii="黑体" w:hAnsi="黑体" w:eastAsia="黑体" w:cstheme="majorBidi"/>
          <w:bCs/>
          <w:color w:val="auto"/>
          <w:sz w:val="32"/>
          <w:szCs w:val="32"/>
        </w:rPr>
        <w:t xml:space="preserve"> </w:t>
      </w:r>
    </w:p>
    <w:p>
      <w:pPr>
        <w:widowControl/>
        <w:spacing w:beforeLines="0" w:afterLines="0" w:line="560" w:lineRule="exact"/>
        <w:ind w:firstLine="640" w:firstLineChars="200"/>
        <w:jc w:val="both"/>
        <w:outlineLvl w:val="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共性</w:t>
      </w:r>
      <w:r>
        <w:rPr>
          <w:rFonts w:hint="eastAsia" w:ascii="楷体_GB2312" w:hAnsi="楷体_GB2312" w:eastAsia="楷体_GB2312" w:cs="楷体_GB2312"/>
          <w:b/>
          <w:bCs/>
          <w:color w:val="auto"/>
          <w:kern w:val="0"/>
          <w:sz w:val="32"/>
          <w:szCs w:val="32"/>
        </w:rPr>
        <w:t>申报</w:t>
      </w:r>
      <w:r>
        <w:rPr>
          <w:rFonts w:hint="eastAsia" w:ascii="仿宋_GB2312" w:hAnsi="仿宋_GB2312" w:eastAsia="仿宋_GB2312" w:cs="仿宋_GB2312"/>
          <w:b/>
          <w:bCs/>
          <w:color w:val="auto"/>
          <w:sz w:val="32"/>
          <w:szCs w:val="32"/>
        </w:rPr>
        <w:t>材料：</w:t>
      </w:r>
    </w:p>
    <w:p>
      <w:pPr>
        <w:widowControl/>
        <w:spacing w:beforeLines="0" w:afterLines="0" w:line="560" w:lineRule="exact"/>
        <w:ind w:left="0" w:right="0" w:firstLine="640" w:firstLineChars="200"/>
        <w:jc w:val="both"/>
        <w:rPr>
          <w:rFonts w:ascii="Calibri" w:hAnsi="Calibri"/>
          <w:color w:val="auto"/>
          <w:szCs w:val="24"/>
          <w:highlight w:val="none"/>
        </w:rPr>
      </w:pPr>
      <w:r>
        <w:rPr>
          <w:rFonts w:hint="eastAsia" w:ascii="仿宋_GB2312" w:hAnsi="Calibri" w:eastAsia="仿宋_GB2312" w:cs="仿宋_GB2312"/>
          <w:color w:val="auto"/>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both"/>
        <w:rPr>
          <w:rStyle w:val="12"/>
          <w:rFonts w:hint="eastAsia" w:ascii="仿宋_GB2312" w:hAnsi="宋体"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（二）</w:t>
      </w:r>
      <w:r>
        <w:rPr>
          <w:rStyle w:val="12"/>
          <w:rFonts w:hint="eastAsia" w:ascii="仿宋_GB2312" w:hAnsi="宋体" w:eastAsia="仿宋_GB2312" w:cs="仿宋_GB2312"/>
          <w:color w:val="auto"/>
          <w:kern w:val="0"/>
          <w:sz w:val="32"/>
          <w:szCs w:val="32"/>
          <w:highlight w:val="none"/>
          <w:lang w:bidi="ar"/>
        </w:rPr>
        <w:t>申报单位营业执照</w:t>
      </w:r>
      <w:r>
        <w:rPr>
          <w:rFonts w:hint="eastAsia" w:ascii="仿宋_GB2312" w:hAnsi="宋体" w:eastAsia="仿宋_GB2312"/>
          <w:color w:val="auto"/>
          <w:sz w:val="32"/>
          <w:szCs w:val="32"/>
          <w:shd w:val="clear" w:color="auto" w:fill="FFFFFF"/>
          <w:lang w:val="en-US" w:eastAsia="zh-CN"/>
        </w:rPr>
        <w:t>（已关联电子证照，免提交）</w:t>
      </w:r>
      <w:r>
        <w:rPr>
          <w:rStyle w:val="12"/>
          <w:rFonts w:hint="eastAsia" w:ascii="仿宋_GB2312" w:hAnsi="宋体" w:eastAsia="仿宋_GB2312" w:cs="仿宋_GB2312"/>
          <w:color w:val="auto"/>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eastAsia="仿宋_GB2312"/>
          <w:color w:val="auto"/>
          <w:highlight w:val="none"/>
        </w:rPr>
      </w:pPr>
      <w:r>
        <w:rPr>
          <w:rFonts w:hint="eastAsia" w:ascii="仿宋_GB2312" w:hAnsi="Calibri" w:eastAsia="仿宋_GB2312" w:cs="仿宋_GB2312"/>
          <w:color w:val="auto"/>
          <w:kern w:val="0"/>
          <w:sz w:val="32"/>
          <w:szCs w:val="32"/>
          <w:highlight w:val="none"/>
          <w:lang w:bidi="ar"/>
        </w:rPr>
        <w:t>（三）税务部门提供的单位上年度（202</w:t>
      </w:r>
      <w:r>
        <w:rPr>
          <w:rFonts w:hint="eastAsia" w:ascii="仿宋_GB2312" w:eastAsia="仿宋_GB2312" w:cs="仿宋_GB2312"/>
          <w:color w:val="auto"/>
          <w:kern w:val="0"/>
          <w:sz w:val="32"/>
          <w:szCs w:val="32"/>
          <w:highlight w:val="none"/>
          <w:lang w:val="en-US" w:eastAsia="zh-CN" w:bidi="ar"/>
        </w:rPr>
        <w:t>3</w:t>
      </w:r>
      <w:r>
        <w:rPr>
          <w:rFonts w:hint="eastAsia" w:ascii="仿宋_GB2312" w:hAnsi="Calibri" w:eastAsia="仿宋_GB2312" w:cs="仿宋_GB2312"/>
          <w:color w:val="auto"/>
          <w:kern w:val="0"/>
          <w:sz w:val="32"/>
          <w:szCs w:val="32"/>
          <w:highlight w:val="none"/>
          <w:lang w:bidi="ar"/>
        </w:rPr>
        <w:t>年度）完税证明复印件；</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（四）经会计师事务所审计的</w:t>
      </w:r>
      <w:r>
        <w:rPr>
          <w:rFonts w:hint="eastAsia" w:ascii="仿宋_GB2312" w:eastAsia="仿宋_GB2312" w:cs="仿宋_GB2312"/>
          <w:color w:val="auto"/>
          <w:kern w:val="0"/>
          <w:sz w:val="32"/>
          <w:szCs w:val="32"/>
          <w:highlight w:val="none"/>
          <w:lang w:val="en-US" w:eastAsia="zh-CN" w:bidi="ar"/>
        </w:rPr>
        <w:t>2022-2023</w:t>
      </w:r>
      <w:bookmarkStart w:id="3" w:name="_GoBack"/>
      <w:bookmarkEnd w:id="3"/>
      <w:r>
        <w:rPr>
          <w:rFonts w:hint="eastAsia" w:ascii="仿宋_GB2312" w:eastAsia="仿宋_GB2312" w:cs="仿宋_GB2312"/>
          <w:color w:val="auto"/>
          <w:kern w:val="0"/>
          <w:sz w:val="32"/>
          <w:szCs w:val="32"/>
          <w:highlight w:val="none"/>
          <w:lang w:val="en-US" w:eastAsia="zh-CN" w:bidi="ar"/>
        </w:rPr>
        <w:t>年度</w:t>
      </w:r>
      <w:r>
        <w:rPr>
          <w:rFonts w:hint="eastAsia" w:ascii="仿宋_GB2312" w:hAnsi="Calibri" w:eastAsia="仿宋_GB2312" w:cs="仿宋_GB2312"/>
          <w:color w:val="auto"/>
          <w:kern w:val="0"/>
          <w:sz w:val="32"/>
          <w:szCs w:val="32"/>
          <w:highlight w:val="none"/>
          <w:lang w:bidi="ar"/>
        </w:rPr>
        <w:t>财务</w:t>
      </w:r>
      <w:r>
        <w:rPr>
          <w:rFonts w:hint="eastAsia" w:ascii="仿宋_GB2312" w:hAnsi="Calibri" w:eastAsia="仿宋_GB2312" w:cs="仿宋_GB2312"/>
          <w:color w:val="auto"/>
          <w:kern w:val="0"/>
          <w:sz w:val="32"/>
          <w:szCs w:val="32"/>
          <w:highlight w:val="none"/>
          <w:lang w:eastAsia="zh-CN" w:bidi="ar"/>
        </w:rPr>
        <w:t>审计</w:t>
      </w:r>
      <w:r>
        <w:rPr>
          <w:rFonts w:hint="eastAsia" w:ascii="仿宋_GB2312" w:hAnsi="Calibri" w:eastAsia="仿宋_GB2312" w:cs="仿宋_GB2312"/>
          <w:color w:val="auto"/>
          <w:kern w:val="0"/>
          <w:sz w:val="32"/>
          <w:szCs w:val="32"/>
          <w:highlight w:val="none"/>
          <w:lang w:bidi="ar"/>
        </w:rPr>
        <w:t>报告或由企业法定代表人签字的单位财务决算报表</w:t>
      </w:r>
      <w:r>
        <w:rPr>
          <w:rFonts w:hint="eastAsia" w:ascii="仿宋_GB2312" w:hAnsi="Calibri" w:eastAsia="仿宋_GB2312" w:cs="仿宋_GB2312"/>
          <w:color w:val="auto"/>
          <w:kern w:val="0"/>
          <w:sz w:val="32"/>
          <w:szCs w:val="32"/>
          <w:highlight w:val="none"/>
          <w:lang w:eastAsia="zh-CN" w:bidi="ar"/>
        </w:rPr>
        <w:t>（</w:t>
      </w:r>
      <w:r>
        <w:rPr>
          <w:rFonts w:hint="eastAsia" w:ascii="仿宋_GB2312" w:hAnsi="Calibri" w:eastAsia="仿宋_GB2312" w:cs="仿宋_GB2312"/>
          <w:color w:val="auto"/>
          <w:kern w:val="0"/>
          <w:sz w:val="32"/>
          <w:szCs w:val="32"/>
          <w:highlight w:val="none"/>
          <w:lang w:bidi="ar"/>
        </w:rPr>
        <w:t>复印件</w:t>
      </w:r>
      <w:r>
        <w:rPr>
          <w:rFonts w:hint="eastAsia" w:ascii="仿宋_GB2312" w:hAnsi="Calibri" w:eastAsia="仿宋_GB2312" w:cs="仿宋_GB2312"/>
          <w:color w:val="auto"/>
          <w:kern w:val="0"/>
          <w:sz w:val="32"/>
          <w:szCs w:val="32"/>
          <w:highlight w:val="none"/>
          <w:lang w:eastAsia="zh-CN" w:bidi="ar"/>
        </w:rPr>
        <w:t>）</w:t>
      </w:r>
      <w:r>
        <w:rPr>
          <w:rFonts w:hint="eastAsia" w:ascii="仿宋_GB2312" w:eastAsia="仿宋_GB2312" w:cs="仿宋_GB2312"/>
          <w:color w:val="auto"/>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w:t>
      </w:r>
      <w:r>
        <w:rPr>
          <w:rFonts w:hint="eastAsia" w:ascii="仿宋_GB2312" w:eastAsia="仿宋_GB2312" w:cs="仿宋_GB2312"/>
          <w:color w:val="auto"/>
          <w:kern w:val="0"/>
          <w:sz w:val="32"/>
          <w:szCs w:val="32"/>
          <w:highlight w:val="none"/>
          <w:lang w:eastAsia="zh-CN" w:bidi="ar"/>
        </w:rPr>
        <w:t>五</w:t>
      </w:r>
      <w:r>
        <w:rPr>
          <w:rFonts w:hint="eastAsia" w:ascii="仿宋_GB2312" w:hAnsi="Calibri" w:eastAsia="仿宋_GB2312" w:cs="仿宋_GB2312"/>
          <w:color w:val="auto"/>
          <w:kern w:val="0"/>
          <w:sz w:val="32"/>
          <w:szCs w:val="32"/>
          <w:highlight w:val="none"/>
          <w:lang w:bidi="ar"/>
        </w:rPr>
        <w:t>）深圳信用网（http://www.szcredit.org.cn）查询下载的信用报告</w:t>
      </w:r>
      <w:r>
        <w:rPr>
          <w:rFonts w:hint="eastAsia" w:ascii="仿宋_GB2312" w:eastAsia="仿宋_GB2312" w:cs="仿宋_GB2312"/>
          <w:color w:val="auto"/>
          <w:kern w:val="0"/>
          <w:sz w:val="32"/>
          <w:szCs w:val="32"/>
          <w:highlight w:val="none"/>
          <w:lang w:eastAsia="zh-CN" w:bidi="ar"/>
        </w:rPr>
        <w:t>；</w:t>
      </w:r>
    </w:p>
    <w:p>
      <w:pPr>
        <w:pStyle w:val="22"/>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Fonts w:hint="eastAsia"/>
          <w:color w:val="auto"/>
          <w:highlight w:val="none"/>
          <w:lang w:eastAsia="zh-CN"/>
        </w:rPr>
      </w:pPr>
      <w:r>
        <w:rPr>
          <w:rStyle w:val="12"/>
          <w:rFonts w:hint="eastAsia" w:ascii="仿宋_GB2312" w:hAnsi="宋体" w:eastAsia="仿宋_GB2312" w:cs="仿宋_GB2312"/>
          <w:color w:val="auto"/>
          <w:kern w:val="0"/>
          <w:sz w:val="32"/>
          <w:szCs w:val="32"/>
          <w:highlight w:val="none"/>
          <w:lang w:bidi="ar"/>
        </w:rPr>
        <w:t>（</w:t>
      </w:r>
      <w:r>
        <w:rPr>
          <w:rStyle w:val="12"/>
          <w:rFonts w:hint="eastAsia" w:ascii="仿宋_GB2312" w:hAnsi="宋体" w:eastAsia="仿宋_GB2312" w:cs="仿宋_GB2312"/>
          <w:color w:val="auto"/>
          <w:kern w:val="0"/>
          <w:sz w:val="32"/>
          <w:szCs w:val="32"/>
          <w:highlight w:val="none"/>
          <w:lang w:eastAsia="zh-CN" w:bidi="ar"/>
        </w:rPr>
        <w:t>六</w:t>
      </w:r>
      <w:r>
        <w:rPr>
          <w:rStyle w:val="12"/>
          <w:rFonts w:hint="eastAsia" w:ascii="仿宋_GB2312" w:hAnsi="宋体" w:eastAsia="仿宋_GB2312" w:cs="仿宋_GB2312"/>
          <w:color w:val="auto"/>
          <w:kern w:val="0"/>
          <w:sz w:val="32"/>
          <w:szCs w:val="32"/>
          <w:highlight w:val="none"/>
          <w:lang w:bidi="ar"/>
        </w:rPr>
        <w:t>）纳入工业和信息化部软件和信息技术服务业统计的佐证材料。</w:t>
      </w:r>
    </w:p>
    <w:p>
      <w:pPr>
        <w:spacing w:line="560" w:lineRule="exact"/>
        <w:ind w:firstLine="643" w:firstLineChars="200"/>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pPr>
        <w:pStyle w:val="2"/>
        <w:spacing w:after="0" w:line="560" w:lineRule="exact"/>
        <w:ind w:firstLine="640"/>
        <w:rPr>
          <w:color w:val="auto"/>
        </w:rPr>
      </w:pPr>
      <w:r>
        <w:rPr>
          <w:rFonts w:hint="eastAsia" w:ascii="仿宋_GB2312" w:hAnsi="仿宋_GB2312" w:cs="仿宋_GB2312"/>
          <w:color w:val="auto"/>
          <w:szCs w:val="32"/>
        </w:rPr>
        <w:t>（一）申报项目属于重大开源项目相关证明材料。</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1.提供开源项目属于深圳企业及其子公司捐赠的开放原子开源基金会名单内项目的佐证材料；</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2.开源项目为开源终端操作系统的，提供应用规模超过3亿台的佐证材料；</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3.开源项目为开源服务器操作系统的，提供开源项目捐赠企业在Linux Kernel社区近一年各内核版本中均进入修改集合排行榜的佐证材料；</w:t>
      </w:r>
    </w:p>
    <w:p>
      <w:pPr>
        <w:pStyle w:val="2"/>
        <w:spacing w:after="0" w:line="560" w:lineRule="exact"/>
        <w:ind w:firstLine="640"/>
        <w:outlineLvl w:val="0"/>
      </w:pPr>
      <w:r>
        <w:rPr>
          <w:rFonts w:hint="eastAsia" w:ascii="仿宋_GB2312" w:hAnsi="仿宋_GB2312" w:cs="仿宋_GB2312"/>
          <w:color w:val="auto"/>
          <w:szCs w:val="32"/>
        </w:rPr>
        <w:t>（二）申报项目相关证明材料。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1.提供商业发行版软件已获得重大开源项目开源社区认证的佐证材料复印件；</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2.提供商业发行版软件产品及服务上一会计年度年</w:t>
      </w:r>
      <w:r>
        <w:rPr>
          <w:rFonts w:hint="eastAsia" w:ascii="仿宋_GB2312" w:hAnsi="宋体" w:eastAsia="仿宋_GB2312" w:cs="仿宋_GB2312"/>
          <w:b/>
          <w:bCs/>
          <w:color w:val="auto"/>
          <w:kern w:val="0"/>
          <w:sz w:val="32"/>
          <w:szCs w:val="32"/>
        </w:rPr>
        <w:t>销售合同</w:t>
      </w:r>
      <w:r>
        <w:rPr>
          <w:rFonts w:hint="eastAsia" w:ascii="仿宋_GB2312" w:hAnsi="宋体" w:eastAsia="仿宋_GB2312" w:cs="仿宋_GB2312"/>
          <w:color w:val="auto"/>
          <w:kern w:val="0"/>
          <w:sz w:val="32"/>
          <w:szCs w:val="32"/>
        </w:rPr>
        <w:t>复印件（验原件）、货款到账凭证和销售发票复印件等（请提供所有销售合同复印件，并按时间先后顺序编制销售合同及到账凭证清单，包括销售合同编号、产品名称、客户名称、发票号、开票时间、金额等基本信息），</w:t>
      </w:r>
      <w:r>
        <w:rPr>
          <w:rFonts w:hint="eastAsia" w:ascii="仿宋_GB2312" w:hAnsi="仿宋_GB2312" w:eastAsia="仿宋_GB2312" w:cs="仿宋_GB2312"/>
          <w:color w:val="auto"/>
          <w:sz w:val="32"/>
          <w:szCs w:val="32"/>
        </w:rPr>
        <w:t>如销售合同为外文的，须翻译成中文。</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宋体" w:eastAsia="仿宋_GB2312" w:cs="仿宋_GB2312"/>
          <w:color w:val="auto"/>
          <w:kern w:val="0"/>
          <w:sz w:val="32"/>
          <w:szCs w:val="32"/>
          <w:lang w:bidi="ar"/>
        </w:rPr>
        <w:t>3.</w:t>
      </w:r>
      <w:r>
        <w:rPr>
          <w:rFonts w:hint="eastAsia" w:ascii="仿宋_GB2312" w:hAnsi="仿宋_GB2312" w:eastAsia="仿宋_GB2312" w:cs="仿宋_GB2312"/>
          <w:color w:val="auto"/>
          <w:sz w:val="32"/>
          <w:szCs w:val="32"/>
        </w:rPr>
        <w:t>商业发行版软件</w:t>
      </w:r>
      <w:r>
        <w:rPr>
          <w:rFonts w:hint="eastAsia" w:ascii="仿宋_GB2312" w:hAnsi="宋体" w:eastAsia="仿宋_GB2312" w:cs="仿宋_GB2312"/>
          <w:color w:val="auto"/>
          <w:kern w:val="0"/>
          <w:sz w:val="32"/>
          <w:szCs w:val="32"/>
          <w:lang w:bidi="ar"/>
        </w:rPr>
        <w:t>为嵌入式软件的，要求销售合同、增值税发票应能体现该嵌入式软件的价值</w:t>
      </w:r>
      <w:r>
        <w:rPr>
          <w:rFonts w:hint="eastAsia" w:ascii="仿宋_GB2312" w:hAnsi="宋体" w:eastAsia="仿宋_GB2312"/>
          <w:color w:val="auto"/>
          <w:kern w:val="0"/>
          <w:sz w:val="32"/>
          <w:szCs w:val="32"/>
          <w:lang w:bidi="ar"/>
        </w:rPr>
        <w:t>。</w:t>
      </w:r>
      <w:bookmarkStart w:id="2" w:name="_Hlk145325820"/>
    </w:p>
    <w:p>
      <w:pPr>
        <w:numPr>
          <w:ilvl w:val="255"/>
          <w:numId w:val="0"/>
        </w:num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提供项目评审重点材料：项目单位参与生态共建（提供开源社区捐赠单位、开源社区生态专委会成员的证明）、重点考察实现行业应用的行业数量（提供销售合同复印件，三个及以上行业最佳）、项目可推广性及示范性等材料证明材料。</w:t>
      </w:r>
      <w:bookmarkEnd w:id="2"/>
    </w:p>
    <w:p>
      <w:pPr>
        <w:numPr>
          <w:ilvl w:val="255"/>
          <w:numId w:val="0"/>
        </w:num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宋体" w:eastAsia="仿宋_GB2312" w:cs="仿宋_GB2312"/>
          <w:color w:val="auto"/>
          <w:kern w:val="0"/>
          <w:sz w:val="32"/>
          <w:szCs w:val="32"/>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color w:val="auto"/>
          <w:kern w:val="0"/>
          <w:sz w:val="32"/>
          <w:szCs w:val="32"/>
        </w:rPr>
        <w:t>。</w:t>
      </w:r>
    </w:p>
    <w:p>
      <w:pPr>
        <w:autoSpaceDE w:val="0"/>
        <w:spacing w:line="560" w:lineRule="exact"/>
        <w:ind w:firstLine="643" w:firstLineChars="200"/>
        <w:rPr>
          <w:color w:val="auto"/>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六、</w:t>
      </w:r>
      <w:r>
        <w:rPr>
          <w:rFonts w:hint="eastAsia" w:ascii="黑体" w:hAnsi="黑体" w:eastAsia="黑体" w:cs="仿宋_GB2312"/>
          <w:bCs/>
          <w:color w:val="auto"/>
          <w:sz w:val="32"/>
          <w:szCs w:val="32"/>
        </w:rPr>
        <w:t>项目的申报登录路径</w:t>
      </w:r>
    </w:p>
    <w:p>
      <w:pPr>
        <w:widowControl/>
        <w:adjustRightInd/>
        <w:snapToGrid/>
        <w:spacing w:line="560" w:lineRule="exact"/>
        <w:ind w:firstLine="640" w:firstLineChars="200"/>
        <w:jc w:val="left"/>
        <w:rPr>
          <w:rFonts w:ascii="仿宋_GB2312" w:hAnsi="黑体" w:eastAsia="仿宋_GB2312" w:cs="黑体"/>
          <w:color w:val="auto"/>
          <w:kern w:val="0"/>
          <w:sz w:val="32"/>
          <w:szCs w:val="32"/>
        </w:rPr>
      </w:pPr>
      <w:r>
        <w:rPr>
          <w:rFonts w:hint="eastAsia" w:ascii="仿宋_GB2312" w:hAnsi="宋体" w:eastAsia="仿宋_GB2312"/>
          <w:color w:val="auto"/>
          <w:sz w:val="32"/>
          <w:szCs w:val="32"/>
        </w:rPr>
        <w:t>登录广东政务服务网——深圳市——</w:t>
      </w:r>
      <w:r>
        <w:rPr>
          <w:rFonts w:hint="eastAsia" w:ascii="仿宋_GB2312" w:hAnsi="宋体" w:eastAsia="仿宋_GB2312"/>
          <w:color w:val="auto"/>
          <w:sz w:val="32"/>
          <w:szCs w:val="32"/>
          <w:lang w:eastAsia="zh-CN"/>
        </w:rPr>
        <w:t>深圳</w:t>
      </w:r>
      <w:r>
        <w:rPr>
          <w:rFonts w:hint="eastAsia" w:ascii="仿宋_GB2312" w:hAnsi="宋体" w:eastAsia="仿宋_GB2312"/>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lang w:bidi="ar"/>
        </w:rPr>
        <w:t>应用推广体系扶持计划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sz w:val="32"/>
          <w:szCs w:val="32"/>
          <w:lang w:bidi="ar"/>
        </w:rPr>
        <w:t>“</w:t>
      </w:r>
      <w:r>
        <w:rPr>
          <w:rFonts w:hint="eastAsia" w:ascii="仿宋_GB2312" w:hAnsi="宋体" w:eastAsia="仿宋_GB2312"/>
          <w:color w:val="auto"/>
          <w:kern w:val="2"/>
          <w:sz w:val="32"/>
          <w:szCs w:val="32"/>
          <w:lang w:bidi="ar"/>
        </w:rPr>
        <w:t>重大开源项目商业发行版软件推广应用项目</w:t>
      </w:r>
      <w:r>
        <w:rPr>
          <w:rFonts w:hint="eastAsia" w:ascii="仿宋_GB2312" w:hAnsi="宋体" w:eastAsia="仿宋_GB2312"/>
          <w:color w:val="auto"/>
          <w:sz w:val="32"/>
          <w:szCs w:val="32"/>
          <w:lang w:bidi="ar"/>
        </w:rPr>
        <w:t>”事项</w:t>
      </w:r>
      <w:r>
        <w:rPr>
          <w:rFonts w:hint="eastAsia" w:ascii="仿宋_GB2312" w:hAnsi="宋体" w:eastAsia="仿宋_GB2312"/>
          <w:color w:val="auto"/>
          <w:sz w:val="32"/>
          <w:szCs w:val="32"/>
        </w:rPr>
        <w:t>办理申请。</w:t>
      </w:r>
    </w:p>
    <w:p>
      <w:pPr>
        <w:autoSpaceDE w:val="0"/>
        <w:spacing w:line="560" w:lineRule="exact"/>
        <w:ind w:firstLine="640" w:firstLineChars="200"/>
        <w:contextualSpacing/>
        <w:jc w:val="left"/>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七、项目申请受理机关与时间</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Theme="minorEastAsia" w:hAnsiTheme="minorEastAsia" w:eastAsiaTheme="minorEastAsia"/>
          <w:color w:val="auto"/>
          <w:sz w:val="32"/>
          <w:szCs w:val="32"/>
        </w:rPr>
        <w:t>（</w:t>
      </w:r>
      <w:r>
        <w:rPr>
          <w:rFonts w:hint="eastAsia" w:ascii="仿宋_GB2312" w:hAnsi="仿宋_GB2312" w:eastAsia="仿宋_GB2312" w:cs="仿宋_GB2312"/>
          <w:color w:val="auto"/>
          <w:sz w:val="32"/>
          <w:szCs w:val="32"/>
        </w:rPr>
        <w:t>一）受理机关：深圳市工业和信息化局。</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（二）受理时间：</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日18时，在线提交项目申请书及配套申报材料，并经过材料齐全性和内容合规性的形式预审。</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递交纸质申请材料。项目申请书需在线打印，其格式和内容可参照附表</w:t>
      </w:r>
      <w:r>
        <w:rPr>
          <w:rFonts w:hint="eastAsia" w:eastAsia="仿宋_GB2312" w:cs="Times New Roman"/>
          <w:color w:val="auto"/>
          <w:sz w:val="32"/>
          <w:szCs w:val="32"/>
        </w:rPr>
        <w:t>1</w:t>
      </w:r>
      <w:r>
        <w:rPr>
          <w:rFonts w:hint="eastAsia" w:ascii="仿宋_GB2312" w:hAnsi="宋体" w:eastAsia="仿宋_GB2312" w:cs="Times New Roman"/>
          <w:color w:val="auto"/>
          <w:sz w:val="32"/>
          <w:szCs w:val="32"/>
        </w:rPr>
        <w:t>）；</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pPr>
        <w:autoSpaceDE w:val="0"/>
        <w:adjustRightInd w:val="0"/>
        <w:snapToGrid w:val="0"/>
        <w:spacing w:beforeLines="0" w:afterLines="0" w:line="560" w:lineRule="exact"/>
        <w:ind w:firstLine="320" w:firstLineChars="100"/>
        <w:outlineLvl w:val="0"/>
        <w:rPr>
          <w:rFonts w:ascii="仿宋_GB2312" w:hAnsi="仿宋_GB2312" w:eastAsia="仿宋_GB2312" w:cs="仿宋_GB2312"/>
          <w:color w:val="auto"/>
          <w:sz w:val="32"/>
          <w:szCs w:val="32"/>
        </w:rPr>
      </w:pPr>
      <w:r>
        <w:rPr>
          <w:rFonts w:hint="eastAsia" w:ascii="仿宋_GB2312" w:hAnsi="宋体" w:eastAsia="仿宋_GB2312" w:cs="Times New Roman"/>
          <w:color w:val="auto"/>
          <w:sz w:val="32"/>
          <w:szCs w:val="32"/>
        </w:rPr>
        <w:t>（注：网上预审通过后</w:t>
      </w:r>
      <w:r>
        <w:rPr>
          <w:rFonts w:hint="eastAsia" w:ascii="仿宋_GB2312" w:hAnsi="宋体" w:eastAsia="仿宋_GB2312" w:cs="Times New Roman"/>
          <w:color w:val="auto"/>
          <w:sz w:val="32"/>
          <w:szCs w:val="32"/>
          <w:lang w:val="en-US" w:eastAsia="zh-CN"/>
        </w:rPr>
        <w:t>(申报状态：已预审）</w:t>
      </w:r>
      <w:r>
        <w:rPr>
          <w:rFonts w:hint="eastAsia" w:ascii="仿宋_GB2312" w:hAnsi="宋体" w:eastAsia="仿宋_GB2312" w:cs="Times New Roman"/>
          <w:color w:val="auto"/>
          <w:sz w:val="32"/>
          <w:szCs w:val="32"/>
        </w:rPr>
        <w:t>请及时预约到</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窗口递交纸质材料，递交了纸质材料的项目才算申报成功</w:t>
      </w:r>
      <w:r>
        <w:rPr>
          <w:rFonts w:hint="eastAsia" w:ascii="仿宋_GB2312" w:eastAsia="仿宋_GB2312" w:cs="Times New Roman"/>
          <w:color w:val="auto"/>
          <w:sz w:val="32"/>
          <w:szCs w:val="32"/>
        </w:rPr>
        <w:t>）；</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3.申请指南咨询电话：0755-88102627、0755-88101995；</w:t>
      </w:r>
    </w:p>
    <w:p>
      <w:pPr>
        <w:spacing w:line="560" w:lineRule="exact"/>
        <w:ind w:firstLine="640" w:firstLineChars="200"/>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开源产业政策宣讲及生态服务咨询电话：鸿蒙生态创新中心  0755-86539888。</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纳入工业和信息化部门软件和信息技术服务业统计咨询电话：0755-83661275、86693376。</w:t>
      </w:r>
    </w:p>
    <w:p>
      <w:pPr>
        <w:spacing w:line="560" w:lineRule="exact"/>
        <w:ind w:firstLine="640" w:firstLineChars="200"/>
        <w:outlineLvl w:val="0"/>
        <w:rPr>
          <w:rFonts w:hint="eastAsia" w:eastAsia="仿宋_GB2312"/>
          <w:color w:val="auto"/>
          <w:lang w:eastAsia="zh-CN"/>
        </w:rPr>
      </w:pPr>
      <w:r>
        <w:rPr>
          <w:rFonts w:hint="eastAsia" w:ascii="仿宋_GB2312" w:hAnsi="仿宋_GB2312" w:eastAsia="仿宋_GB2312" w:cs="仿宋_GB2312"/>
          <w:color w:val="auto"/>
          <w:sz w:val="32"/>
          <w:szCs w:val="32"/>
        </w:rPr>
        <w:t>4.技术支持电话：0755-88101882、88127057。</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（三）受理地点：深圳市福田区福中三路市民中心B区市行政服务大厅西厅5-43综合窗口。</w:t>
      </w:r>
    </w:p>
    <w:p>
      <w:pPr>
        <w:widowControl/>
        <w:autoSpaceDE w:val="0"/>
        <w:spacing w:beforeLines="0" w:afterLines="0" w:line="560" w:lineRule="exact"/>
        <w:ind w:firstLine="640" w:firstLineChars="200"/>
        <w:contextualSpacing/>
        <w:jc w:val="left"/>
        <w:rPr>
          <w:color w:val="auto"/>
        </w:rPr>
      </w:pPr>
      <w:r>
        <w:rPr>
          <w:rFonts w:hint="eastAsia" w:ascii="仿宋_GB2312" w:hAnsi="宋体" w:eastAsia="仿宋_GB2312" w:cs="Times New Roman"/>
          <w:color w:val="auto"/>
          <w:sz w:val="32"/>
          <w:szCs w:val="32"/>
        </w:rPr>
        <w:t>(注：预约指南：“i深圳”APP</w:t>
      </w:r>
      <w:r>
        <w:rPr>
          <w:rFonts w:hint="eastAsia" w:ascii="仿宋_GB2312" w:hAnsi="宋体" w:eastAsia="仿宋_GB2312" w:cs="Times New Roman"/>
          <w:color w:val="auto"/>
          <w:sz w:val="32"/>
          <w:szCs w:val="32"/>
          <w:lang w:val="en-US" w:eastAsia="zh-CN"/>
        </w:rPr>
        <w:t>,</w:t>
      </w:r>
      <w:r>
        <w:rPr>
          <w:rFonts w:hint="eastAsia" w:ascii="仿宋_GB2312" w:hAnsi="宋体" w:eastAsia="仿宋_GB2312" w:cs="Times New Roman"/>
          <w:color w:val="auto"/>
          <w:sz w:val="32"/>
          <w:szCs w:val="32"/>
        </w:rPr>
        <w:t>操作流程：【办事预约】—【深圳市】—【深圳市政务服务中心-西厅】—【在线预约】。请按照预约时段提交材料。）</w:t>
      </w:r>
    </w:p>
    <w:p>
      <w:pPr>
        <w:autoSpaceDE w:val="0"/>
        <w:spacing w:line="560" w:lineRule="exact"/>
        <w:ind w:firstLine="640" w:firstLineChars="200"/>
        <w:contextualSpacing/>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八、</w:t>
      </w:r>
      <w:r>
        <w:rPr>
          <w:rFonts w:hint="eastAsia" w:ascii="黑体" w:hAnsi="黑体" w:eastAsia="黑体" w:cs="仿宋_GB2312"/>
          <w:bCs/>
          <w:color w:val="auto"/>
          <w:sz w:val="32"/>
          <w:szCs w:val="32"/>
        </w:rPr>
        <w:t>资助核准机关</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pPr>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九、</w:t>
      </w:r>
      <w:r>
        <w:rPr>
          <w:rFonts w:hint="eastAsia" w:ascii="黑体" w:hAnsi="黑体" w:eastAsia="黑体" w:cs="仿宋_GB2312"/>
          <w:bCs/>
          <w:color w:val="auto"/>
          <w:sz w:val="32"/>
          <w:szCs w:val="32"/>
        </w:rPr>
        <w:t>核准流程</w:t>
      </w:r>
    </w:p>
    <w:p>
      <w:pPr>
        <w:adjustRightInd w:val="0"/>
        <w:snapToGrid w:val="0"/>
        <w:spacing w:beforeLines="0" w:afterLines="0" w:line="560" w:lineRule="exact"/>
        <w:ind w:firstLine="640" w:firstLineChars="200"/>
        <w:rPr>
          <w:rFonts w:asciiTheme="minorEastAsia" w:hAnsiTheme="minorEastAsia" w:eastAsiaTheme="minorEastAsia"/>
          <w:color w:val="auto"/>
          <w:szCs w:val="32"/>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rPr>
        <w:t>（抽查）、查重等环节——拟定扶持计划--社会公示--下达项目扶持计划--申报单位提交拨付资金资料--市工业和信息化局拨付资金。</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w:t>
      </w:r>
      <w:r>
        <w:rPr>
          <w:rFonts w:hint="eastAsia" w:ascii="黑体" w:hAnsi="黑体" w:eastAsia="黑体" w:cstheme="majorBidi"/>
          <w:bCs/>
          <w:color w:val="auto"/>
          <w:sz w:val="32"/>
          <w:szCs w:val="32"/>
          <w:lang w:val="en-US" w:eastAsia="zh-CN"/>
        </w:rPr>
        <w:t>核准</w:t>
      </w:r>
      <w:r>
        <w:rPr>
          <w:rFonts w:hint="eastAsia" w:ascii="黑体" w:hAnsi="黑体" w:eastAsia="黑体" w:cstheme="majorBidi"/>
          <w:bCs/>
          <w:color w:val="auto"/>
          <w:sz w:val="32"/>
          <w:szCs w:val="32"/>
        </w:rPr>
        <w:t>时限</w:t>
      </w:r>
    </w:p>
    <w:p>
      <w:pPr>
        <w:spacing w:line="560" w:lineRule="exact"/>
        <w:ind w:firstLine="640" w:firstLineChars="200"/>
        <w:outlineLvl w:val="0"/>
        <w:rPr>
          <w:rFonts w:hint="eastAsia" w:ascii="仿宋_GB2312" w:eastAsia="仿宋_GB2312" w:cs="Times New Roman"/>
          <w:bCs/>
          <w:color w:val="auto"/>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个工作日（不包括特殊程序时限，其中专项审计45个工作日，专家评审45个工作日，现场核查45个工作日）。</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十一、</w:t>
      </w:r>
      <w:r>
        <w:rPr>
          <w:rFonts w:hint="eastAsia" w:ascii="黑体" w:hAnsi="黑体" w:eastAsia="黑体" w:cstheme="majorBidi"/>
          <w:bCs/>
          <w:color w:val="auto"/>
          <w:sz w:val="32"/>
          <w:szCs w:val="32"/>
          <w:lang w:val="en-US" w:eastAsia="zh-CN"/>
        </w:rPr>
        <w:t>核准结果</w:t>
      </w:r>
      <w:r>
        <w:rPr>
          <w:rFonts w:hint="eastAsia" w:ascii="黑体" w:hAnsi="黑体" w:eastAsia="黑体" w:cstheme="majorBidi"/>
          <w:bCs/>
          <w:color w:val="auto"/>
          <w:sz w:val="32"/>
          <w:szCs w:val="32"/>
        </w:rPr>
        <w:t>及有效期限</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autoSpaceDE w:val="0"/>
        <w:spacing w:beforeLines="0" w:afterLines="0" w:line="560" w:lineRule="exact"/>
        <w:ind w:firstLine="640" w:firstLineChars="200"/>
        <w:contextualSpacing/>
        <w:outlineLvl w:val="9"/>
        <w:rPr>
          <w:rFonts w:ascii="仿宋_GB2312" w:hAnsi="仿宋_GB2312" w:eastAsia="仿宋_GB2312" w:cs="仿宋_GB2312"/>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adjustRightInd w:val="0"/>
        <w:snapToGrid w:val="0"/>
        <w:spacing w:line="560" w:lineRule="exact"/>
        <w:ind w:firstLine="640" w:firstLineChars="200"/>
        <w:rPr>
          <w:rFonts w:ascii="黑体" w:hAnsi="黑体" w:eastAsia="黑体" w:cstheme="majorBidi"/>
          <w:bCs/>
          <w:color w:val="auto"/>
          <w:sz w:val="32"/>
          <w:szCs w:val="32"/>
        </w:rPr>
      </w:pPr>
      <w:r>
        <w:rPr>
          <w:rFonts w:hint="eastAsia" w:ascii="黑体" w:hAnsi="黑体" w:eastAsia="黑体" w:cstheme="majorBidi"/>
          <w:bCs/>
          <w:color w:val="auto"/>
          <w:sz w:val="32"/>
          <w:szCs w:val="32"/>
        </w:rPr>
        <w:t>十二、证件的法律效力</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申请人凭批准文件获得专项资金资助。</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十三、收费</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十四、年审或年检</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无年审。 </w:t>
      </w:r>
    </w:p>
    <w:p>
      <w:pPr>
        <w:numPr>
          <w:ilvl w:val="0"/>
          <w:numId w:val="3"/>
        </w:numPr>
        <w:adjustRightInd w:val="0"/>
        <w:snapToGrid w:val="0"/>
        <w:spacing w:line="560" w:lineRule="exact"/>
        <w:ind w:firstLine="640" w:firstLineChars="200"/>
        <w:rPr>
          <w:rFonts w:ascii="黑体" w:hAnsi="黑体" w:eastAsia="黑体" w:cstheme="majorBidi"/>
          <w:bCs/>
          <w:color w:val="auto"/>
          <w:sz w:val="32"/>
          <w:szCs w:val="32"/>
        </w:rPr>
      </w:pPr>
      <w:r>
        <w:rPr>
          <w:rFonts w:hint="eastAsia" w:ascii="黑体" w:hAnsi="黑体" w:eastAsia="黑体" w:cstheme="majorBidi"/>
          <w:bCs/>
          <w:color w:val="auto"/>
          <w:sz w:val="32"/>
          <w:szCs w:val="32"/>
        </w:rPr>
        <w:t>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9"/>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9"/>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widowControl w:val="0"/>
        <w:jc w:val="both"/>
        <w:rPr>
          <w:rFonts w:hint="default" w:ascii="Times New Roman" w:hAnsi="Times New Roman" w:eastAsia="宋体" w:cs="Times New Roman"/>
          <w:color w:val="auto"/>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rPr>
          <w:color w:val="auto"/>
          <w:highlight w:val="none"/>
        </w:rPr>
      </w:pPr>
    </w:p>
    <w:p>
      <w:pPr>
        <w:spacing w:line="560" w:lineRule="exact"/>
        <w:rPr>
          <w:rFonts w:asciiTheme="minorEastAsia" w:hAnsiTheme="minorEastAsia" w:eastAsiaTheme="minorEastAsia"/>
          <w:color w:val="auto"/>
        </w:rPr>
      </w:pPr>
    </w:p>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2BD697-77D1-4E3E-B3E0-547BC5F498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30029CE-4963-4F15-B9C5-E0A8E5C4B05F}"/>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C8357DD0-B23E-48DE-972E-A730D6C82BD2}"/>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4" w:fontKey="{5A53613B-FBCD-491F-9F23-17793EB5A57A}"/>
  </w:font>
  <w:font w:name="楷体_GB2312">
    <w:panose1 w:val="02010609030101010101"/>
    <w:charset w:val="86"/>
    <w:family w:val="modern"/>
    <w:pitch w:val="default"/>
    <w:sig w:usb0="00000001" w:usb1="080E0000" w:usb2="00000000" w:usb3="00000000" w:csb0="00040000" w:csb1="00000000"/>
    <w:embedRegular r:id="rId5" w:fontKey="{2F119AB3-C92D-4A16-9363-B5DBF10E6F48}"/>
  </w:font>
  <w:font w:name="仿宋">
    <w:panose1 w:val="02010609060101010101"/>
    <w:charset w:val="86"/>
    <w:family w:val="modern"/>
    <w:pitch w:val="default"/>
    <w:sig w:usb0="800002BF" w:usb1="38CF7CFA" w:usb2="00000016" w:usb3="00000000" w:csb0="00040001" w:csb1="00000000"/>
    <w:embedRegular r:id="rId6" w:fontKey="{C7796F97-1F19-4EE5-A094-CE736803FCF0}"/>
  </w:font>
  <w:font w:name="微软雅黑">
    <w:panose1 w:val="020B0503020204020204"/>
    <w:charset w:val="86"/>
    <w:family w:val="swiss"/>
    <w:pitch w:val="default"/>
    <w:sig w:usb0="80000287" w:usb1="2ACF3C50" w:usb2="00000016" w:usb3="00000000" w:csb0="0004001F" w:csb1="00000000"/>
    <w:embedRegular r:id="rId7" w:fontKey="{2269693D-8DC1-49DD-A37E-95D6415B72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abstractNum w:abstractNumId="2">
    <w:nsid w:val="6AAE96EF"/>
    <w:multiLevelType w:val="singleLevel"/>
    <w:tmpl w:val="6AAE96EF"/>
    <w:lvl w:ilvl="0" w:tentative="0">
      <w:start w:val="1"/>
      <w:numFmt w:val="chineseCounting"/>
      <w:suff w:val="nothing"/>
      <w:lvlText w:val="（%1）"/>
      <w:lvlJc w:val="left"/>
      <w:rPr>
        <w:rFonts w:hint="eastAsia" w:eastAsia="仿宋_GB2312"/>
        <w:b w:val="0"/>
        <w:bCs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14139"/>
    <w:rsid w:val="00031704"/>
    <w:rsid w:val="00050C08"/>
    <w:rsid w:val="00057C22"/>
    <w:rsid w:val="00093A5B"/>
    <w:rsid w:val="000A73CD"/>
    <w:rsid w:val="000B4D0E"/>
    <w:rsid w:val="000D7465"/>
    <w:rsid w:val="0011790D"/>
    <w:rsid w:val="0013304B"/>
    <w:rsid w:val="00163DD1"/>
    <w:rsid w:val="00170AAE"/>
    <w:rsid w:val="00172A27"/>
    <w:rsid w:val="002618E6"/>
    <w:rsid w:val="002656AB"/>
    <w:rsid w:val="00267455"/>
    <w:rsid w:val="002B5665"/>
    <w:rsid w:val="002F4E09"/>
    <w:rsid w:val="002F5EEF"/>
    <w:rsid w:val="00301A8D"/>
    <w:rsid w:val="00315639"/>
    <w:rsid w:val="00333E35"/>
    <w:rsid w:val="00356651"/>
    <w:rsid w:val="0037319A"/>
    <w:rsid w:val="00377E0C"/>
    <w:rsid w:val="00380AAD"/>
    <w:rsid w:val="0040795A"/>
    <w:rsid w:val="00433F62"/>
    <w:rsid w:val="00451A83"/>
    <w:rsid w:val="004C0E57"/>
    <w:rsid w:val="004C7100"/>
    <w:rsid w:val="004C7DBE"/>
    <w:rsid w:val="0052293B"/>
    <w:rsid w:val="00523B17"/>
    <w:rsid w:val="00572124"/>
    <w:rsid w:val="0057363D"/>
    <w:rsid w:val="005E030D"/>
    <w:rsid w:val="00610E13"/>
    <w:rsid w:val="00614B62"/>
    <w:rsid w:val="00671E25"/>
    <w:rsid w:val="006C429A"/>
    <w:rsid w:val="006F0B95"/>
    <w:rsid w:val="00710964"/>
    <w:rsid w:val="00713A19"/>
    <w:rsid w:val="00717582"/>
    <w:rsid w:val="00734D2C"/>
    <w:rsid w:val="007737A7"/>
    <w:rsid w:val="007B398D"/>
    <w:rsid w:val="007E11CF"/>
    <w:rsid w:val="0081346D"/>
    <w:rsid w:val="00852EB5"/>
    <w:rsid w:val="008616AA"/>
    <w:rsid w:val="008729B9"/>
    <w:rsid w:val="008C3584"/>
    <w:rsid w:val="008F335C"/>
    <w:rsid w:val="00911189"/>
    <w:rsid w:val="00922A95"/>
    <w:rsid w:val="009B33C2"/>
    <w:rsid w:val="009D74A9"/>
    <w:rsid w:val="00A70A95"/>
    <w:rsid w:val="00A911DB"/>
    <w:rsid w:val="00A94F20"/>
    <w:rsid w:val="00AA6D29"/>
    <w:rsid w:val="00AB034C"/>
    <w:rsid w:val="00AB7F0D"/>
    <w:rsid w:val="00AC4BEB"/>
    <w:rsid w:val="00AC5D5D"/>
    <w:rsid w:val="00B01C83"/>
    <w:rsid w:val="00B31532"/>
    <w:rsid w:val="00B53702"/>
    <w:rsid w:val="00BA11D3"/>
    <w:rsid w:val="00BB3ABF"/>
    <w:rsid w:val="00BE4150"/>
    <w:rsid w:val="00BE79F7"/>
    <w:rsid w:val="00C0271A"/>
    <w:rsid w:val="00C420C4"/>
    <w:rsid w:val="00C632DF"/>
    <w:rsid w:val="00CC04D6"/>
    <w:rsid w:val="00D41369"/>
    <w:rsid w:val="00D67FB9"/>
    <w:rsid w:val="00D76742"/>
    <w:rsid w:val="00D9757C"/>
    <w:rsid w:val="00E04746"/>
    <w:rsid w:val="00E95B77"/>
    <w:rsid w:val="00EC4C88"/>
    <w:rsid w:val="00F4230C"/>
    <w:rsid w:val="00F75F51"/>
    <w:rsid w:val="00F83B1F"/>
    <w:rsid w:val="00F84451"/>
    <w:rsid w:val="021562ED"/>
    <w:rsid w:val="028E151F"/>
    <w:rsid w:val="0310419A"/>
    <w:rsid w:val="033E6015"/>
    <w:rsid w:val="03804FDC"/>
    <w:rsid w:val="06A43013"/>
    <w:rsid w:val="07EB7066"/>
    <w:rsid w:val="0C567670"/>
    <w:rsid w:val="0C5B44D7"/>
    <w:rsid w:val="0C96619C"/>
    <w:rsid w:val="0E4E35B7"/>
    <w:rsid w:val="112F5B47"/>
    <w:rsid w:val="121C4227"/>
    <w:rsid w:val="12914B93"/>
    <w:rsid w:val="12C26375"/>
    <w:rsid w:val="12F26E2C"/>
    <w:rsid w:val="1955083A"/>
    <w:rsid w:val="1CA922FC"/>
    <w:rsid w:val="1DF77787"/>
    <w:rsid w:val="1F6932C1"/>
    <w:rsid w:val="25B34B41"/>
    <w:rsid w:val="275700C1"/>
    <w:rsid w:val="283C5B8C"/>
    <w:rsid w:val="2B395386"/>
    <w:rsid w:val="2BDE5160"/>
    <w:rsid w:val="2C09331F"/>
    <w:rsid w:val="2D0C4364"/>
    <w:rsid w:val="2D4846C5"/>
    <w:rsid w:val="2F461276"/>
    <w:rsid w:val="30C35E0F"/>
    <w:rsid w:val="34494B92"/>
    <w:rsid w:val="354B449E"/>
    <w:rsid w:val="35915825"/>
    <w:rsid w:val="376E3BE8"/>
    <w:rsid w:val="387763E2"/>
    <w:rsid w:val="395500DD"/>
    <w:rsid w:val="3A2F14BF"/>
    <w:rsid w:val="3AE53E5B"/>
    <w:rsid w:val="3B2929B3"/>
    <w:rsid w:val="405C0D34"/>
    <w:rsid w:val="435E3EE6"/>
    <w:rsid w:val="43620EF0"/>
    <w:rsid w:val="447F5EC2"/>
    <w:rsid w:val="449621A5"/>
    <w:rsid w:val="45130693"/>
    <w:rsid w:val="4648327B"/>
    <w:rsid w:val="46697034"/>
    <w:rsid w:val="468A3E36"/>
    <w:rsid w:val="472965B9"/>
    <w:rsid w:val="473632F0"/>
    <w:rsid w:val="479E3577"/>
    <w:rsid w:val="480A2BFF"/>
    <w:rsid w:val="4909142D"/>
    <w:rsid w:val="4A405680"/>
    <w:rsid w:val="4B60265A"/>
    <w:rsid w:val="4C464C0E"/>
    <w:rsid w:val="4D3F0217"/>
    <w:rsid w:val="4D6D579B"/>
    <w:rsid w:val="4E490201"/>
    <w:rsid w:val="50442587"/>
    <w:rsid w:val="529B019D"/>
    <w:rsid w:val="53103DA2"/>
    <w:rsid w:val="545A160A"/>
    <w:rsid w:val="56EC543F"/>
    <w:rsid w:val="587B1F79"/>
    <w:rsid w:val="589F0117"/>
    <w:rsid w:val="59374B66"/>
    <w:rsid w:val="594B449A"/>
    <w:rsid w:val="5B0A3421"/>
    <w:rsid w:val="5B821A15"/>
    <w:rsid w:val="5B921F6F"/>
    <w:rsid w:val="5E97264E"/>
    <w:rsid w:val="6120450A"/>
    <w:rsid w:val="613170F5"/>
    <w:rsid w:val="61625909"/>
    <w:rsid w:val="66561D89"/>
    <w:rsid w:val="680516F5"/>
    <w:rsid w:val="6842615A"/>
    <w:rsid w:val="68FF42C2"/>
    <w:rsid w:val="692A272E"/>
    <w:rsid w:val="69BC5185"/>
    <w:rsid w:val="6A0F12C1"/>
    <w:rsid w:val="6D8A6A8E"/>
    <w:rsid w:val="6F624C36"/>
    <w:rsid w:val="6FBC3999"/>
    <w:rsid w:val="6FE4201E"/>
    <w:rsid w:val="70E7536F"/>
    <w:rsid w:val="7402295B"/>
    <w:rsid w:val="74242CEE"/>
    <w:rsid w:val="750618C4"/>
    <w:rsid w:val="76C053D6"/>
    <w:rsid w:val="77767675"/>
    <w:rsid w:val="77EF131B"/>
    <w:rsid w:val="78462887"/>
    <w:rsid w:val="799534B7"/>
    <w:rsid w:val="7A8A27A6"/>
    <w:rsid w:val="7AF57AA1"/>
    <w:rsid w:val="7B9143C1"/>
    <w:rsid w:val="7BC37209"/>
    <w:rsid w:val="7D0B042F"/>
    <w:rsid w:val="7DB5467C"/>
    <w:rsid w:val="7DE07FB2"/>
    <w:rsid w:val="7E130D51"/>
    <w:rsid w:val="7E611BB9"/>
    <w:rsid w:val="FBDF7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rPr>
      <w:rFonts w:ascii="Times New Roman" w:hAnsi="Times New Roman" w:eastAsia="仿宋_GB2312"/>
      <w:sz w:val="32"/>
    </w:rPr>
  </w:style>
  <w:style w:type="paragraph" w:styleId="4">
    <w:name w:val="annotation text"/>
    <w:basedOn w:val="1"/>
    <w:link w:val="19"/>
    <w:qFormat/>
    <w:uiPriority w:val="0"/>
    <w:pPr>
      <w:jc w:val="left"/>
    </w:pPr>
  </w:style>
  <w:style w:type="paragraph" w:styleId="5">
    <w:name w:val="Balloon Text"/>
    <w:basedOn w:val="1"/>
    <w:link w:val="21"/>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9">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10">
    <w:name w:val="annotation subject"/>
    <w:basedOn w:val="4"/>
    <w:next w:val="4"/>
    <w:link w:val="20"/>
    <w:qFormat/>
    <w:uiPriority w:val="0"/>
    <w:rPr>
      <w:b/>
      <w:bCs/>
    </w:rPr>
  </w:style>
  <w:style w:type="character" w:styleId="13">
    <w:name w:val="Hyperlink"/>
    <w:unhideWhenUsed/>
    <w:qFormat/>
    <w:uiPriority w:val="99"/>
    <w:rPr>
      <w:color w:val="0000FF"/>
      <w:u w:val="single"/>
    </w:rPr>
  </w:style>
  <w:style w:type="character" w:styleId="14">
    <w:name w:val="annotation reference"/>
    <w:basedOn w:val="12"/>
    <w:qFormat/>
    <w:uiPriority w:val="0"/>
    <w:rPr>
      <w:sz w:val="21"/>
      <w:szCs w:val="21"/>
    </w:rPr>
  </w:style>
  <w:style w:type="paragraph" w:customStyle="1" w:styleId="15">
    <w:name w:val="黑体"/>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 w:type="character" w:customStyle="1" w:styleId="17">
    <w:name w:val="页脚 字符"/>
    <w:basedOn w:val="12"/>
    <w:link w:val="6"/>
    <w:qFormat/>
    <w:uiPriority w:val="0"/>
    <w:rPr>
      <w:rFonts w:ascii="Calibri" w:hAnsi="Calibri" w:eastAsia="宋体" w:cs="Times New Roman"/>
      <w:kern w:val="2"/>
      <w:sz w:val="18"/>
      <w:szCs w:val="18"/>
    </w:rPr>
  </w:style>
  <w:style w:type="character" w:customStyle="1" w:styleId="18">
    <w:name w:val="页眉 字符"/>
    <w:basedOn w:val="12"/>
    <w:link w:val="7"/>
    <w:qFormat/>
    <w:uiPriority w:val="0"/>
    <w:rPr>
      <w:rFonts w:ascii="Calibri" w:hAnsi="Calibri" w:eastAsia="宋体" w:cs="Times New Roman"/>
      <w:kern w:val="2"/>
      <w:sz w:val="18"/>
      <w:szCs w:val="18"/>
    </w:rPr>
  </w:style>
  <w:style w:type="character" w:customStyle="1" w:styleId="19">
    <w:name w:val="批注文字 字符"/>
    <w:basedOn w:val="12"/>
    <w:link w:val="4"/>
    <w:qFormat/>
    <w:uiPriority w:val="0"/>
    <w:rPr>
      <w:rFonts w:ascii="Calibri" w:hAnsi="Calibri" w:eastAsia="宋体" w:cs="Times New Roman"/>
      <w:kern w:val="2"/>
      <w:sz w:val="21"/>
      <w:szCs w:val="22"/>
    </w:rPr>
  </w:style>
  <w:style w:type="character" w:customStyle="1" w:styleId="20">
    <w:name w:val="批注主题 字符"/>
    <w:basedOn w:val="19"/>
    <w:link w:val="10"/>
    <w:qFormat/>
    <w:uiPriority w:val="0"/>
    <w:rPr>
      <w:rFonts w:ascii="Calibri" w:hAnsi="Calibri" w:eastAsia="宋体" w:cs="Times New Roman"/>
      <w:b/>
      <w:bCs/>
      <w:kern w:val="2"/>
      <w:sz w:val="21"/>
      <w:szCs w:val="22"/>
    </w:rPr>
  </w:style>
  <w:style w:type="character" w:customStyle="1" w:styleId="21">
    <w:name w:val="批注框文本 字符"/>
    <w:basedOn w:val="12"/>
    <w:link w:val="5"/>
    <w:qFormat/>
    <w:uiPriority w:val="0"/>
    <w:rPr>
      <w:rFonts w:ascii="Calibri" w:hAnsi="Calibri" w:eastAsia="宋体" w:cs="Times New Roman"/>
      <w:kern w:val="2"/>
      <w:sz w:val="18"/>
      <w:szCs w:val="18"/>
    </w:rPr>
  </w:style>
  <w:style w:type="paragraph" w:customStyle="1" w:styleId="22">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 w:type="character" w:customStyle="1" w:styleId="24">
    <w:name w:val="10"/>
    <w:basedOn w:val="12"/>
    <w:qFormat/>
    <w:uiPriority w:val="0"/>
    <w:rPr>
      <w:rFonts w:hint="default" w:ascii="Times New Roman" w:hAnsi="Times New Roman" w:cs="Times New Roman"/>
    </w:rPr>
  </w:style>
  <w:style w:type="paragraph" w:customStyle="1" w:styleId="25">
    <w:name w:val="文件正文"/>
    <w:basedOn w:val="8"/>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26">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Huawei Technologies Co., Ltd.</Company>
  <Pages>9</Pages>
  <Words>563</Words>
  <Characters>3210</Characters>
  <Lines>26</Lines>
  <Paragraphs>7</Paragraphs>
  <TotalTime>2</TotalTime>
  <ScaleCrop>false</ScaleCrop>
  <LinksUpToDate>false</LinksUpToDate>
  <CharactersWithSpaces>3766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2024-01-08T16:59:00Z</dcterms:created>
  <dc:creator>big lcz</dc:creator>
  <cp:lastModifiedBy>潘洋</cp:lastModifiedBy>
  <cp:lastPrinted>2024-01-12T11:26:00Z</cp:lastPrinted>
  <dcterms:modified xsi:type="dcterms:W3CDTF">2024-04-25T03:05:34Z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603765643840419FAF2557CA7908B792</vt:lpwstr>
  </property>
  <property fmtid="{D5CDD505-2E9C-101B-9397-08002B2CF9AE}" pid="4" name="_2015_ms_pID_725343">
    <vt:lpwstr>(3)TVBtynnQ0bHZGzkoRiuPFQ6qkgadkZBUWNmpf4wlMhtxbdGNkStIhntZVYUot8+iewA70Af3
/Yx1SNGOYFRKIBRXUU8uIzhRiygsRw/2ypsi9Ee/mYtmIQ17vM+1gi3YZ9XSxq+ZqYrIgagt
g13n+uqcad9NyWH6MRD/8A65YKAbOzPla+ol7bPoTWkDWbDudGPxVL01gfPBhxsFWAR6geLB
6IGDlf4nqHsbmkCcT3</vt:lpwstr>
  </property>
  <property fmtid="{D5CDD505-2E9C-101B-9397-08002B2CF9AE}" pid="5" name="_2015_ms_pID_7253431">
    <vt:lpwstr>RdDtePn8rmOKpHa3FyyUYU8v2yDZjYXn8lCKu406oXOfgsSxKyJ/3T
nUbAtevFf3aWrTn1SJWDFdtjsNEX28cwBM8ralc0WzNKV8l2LS4Eeuel76okjAZiMx3GtC2b
NTKEAyKppUQXfWgxuB+Kkzz8TrrMb+e8Z+E/vnO4zuFIFegpxCnknedRSt/sZyO2DQXmGIhh
A7OfSDQ/L0S0ojmqnMnPrJEeAjI5WtoYg51e</vt:lpwstr>
  </property>
  <property fmtid="{D5CDD505-2E9C-101B-9397-08002B2CF9AE}" pid="6" name="_2015_ms_pID_7253432">
    <vt:lpwstr>o2aPJv6SP3tnlT4YHGTIqumIBWJ6T8ty2HnS
McdIfPGG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ies>
</file>