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W w:w="99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882"/>
        <w:gridCol w:w="1840"/>
        <w:gridCol w:w="1033"/>
        <w:gridCol w:w="948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5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福建省专精特新中小企业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综合评分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评价表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企业名称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（盖章）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属地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</w:rPr>
              <w:t>（设区市）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企业自评总分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none"/>
                <w:lang w:eastAsia="zh-CN"/>
              </w:rPr>
              <w:t>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基本条件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企业自评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专家评审意见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1.是否中小企业（根据《中小企业划型标准规定》）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□是      □否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□是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2.从事特定细分市场时间达到2年以上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年限：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 xml:space="preserve">年 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年限：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 xml:space="preserve">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3.上年度研发费用总额不低于100万元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且占营业收入总额比重不低于3%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研发费用总额：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万元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研发费用总额：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研发占营收比重：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研发占营收比重：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4.上年度营业收入总额在1000万元以上，或上年度营业收入总额在1000万元以下，但近2年新增股权融资总额（合格投资者的实缴额）达到2000万元以上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营业收入总额：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营业收入总额：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新增股权融资总额：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新增股权融资总额：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6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常开展生产经营活动，企业未被列入经营异常名录或严重失信主体名单，提供的工艺技术、装备和产品（服务）不属于国家禁止、限制或淘汰类，同时近三年未发生重大安全（含网络安全、数据安全）、质量、环境污染等事故以及偷漏税影响评定等行为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□是      □否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□是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评价指标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满足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选项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自评分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专家评审意见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（一）专业化指标（2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上年度主营业务收入总额占营业收入总额比重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单选，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满分5分）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 80%以上（5分）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 70%-80%（3分）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 60%-70%（1分）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D. 60%以下（0分）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近2年主营业务收入平均增长率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单选，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满分10分）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 10%以上（10分）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 8%-10%（8分）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 6%-8%（6分）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D. 4%-6%（4分）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E. 0%-4%（2分）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F. 0%以下（0分）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3.从事特定细分市场年限（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单选，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满分5分）</w:t>
            </w: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每满2年得1分，最高不超过5分。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主导产品所属领域情况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（单选，满分5分）</w:t>
            </w: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 在产业链供应链关键环节及关键领域“补短板”“锻长板”“填空白”取得实际成效（5分）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 属于工业“六基”领域、中华老字号名录或企业主导产品服务关键产业链重点龙头企业（3分）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 不属于以上情况（0分）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（二）精细化指标（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数字化水平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（单选，满分5分）</w:t>
            </w: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A.三级以上（5分）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B.二级（3分）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C.一级（0分）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质量管理水平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（多选，每满足一项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加3分，最高不超过5分）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A.获得省级以上质量奖荣誉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B.建立质量管理体系，获得ISO9001等质量管理体系认证证书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C.拥有自主品牌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D.参与制修订标准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上年度净利润率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单选，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满分10分）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 10%以上（10分）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 8%-10%（8分）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 6%-8%（6分）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D. 4%-6%（4分）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E. 2%-4%（2分）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F. 2%以下（0分）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上年度资产负债率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单选，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满分5分）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 50%以下（5分）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 50%-60%（3分）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 60%-70%（1分）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D. 70%以上（0分）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特色化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指标（15分）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9.特色化指标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（每满足一项加3分，最高不超过15分）</w:t>
            </w: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A.属于我省战略性新兴产业并已纳入统计监测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B.主导产品细分市场占有率处于全国前10位或全省前3位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C.近三年拥有经科学技术行政部门认定登记的技术合同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D.拥有设区市级以上高层次人才，且在企业任职时间达1年以上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E.获得设区市级以上政府质量奖荣誉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F.近三年进入“创响福建”大赛市级决赛名单或专题赛获奖企业名单，或者获得“中国·海峡”系列工业设计大赛优秀奖及以上奖项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G.近三年企业主导产品列入省工业和信息化重点新产品推广目录、获得省级以上首台（套）认定或列入国家、省重点新材料生产应用支持参考目录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H.被公布为省级以上工业互联网平台、标杆企业等试点示范，新一代信息技术与制造业融合发展试点示范、5G全连接工厂、典型应用场景等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I.被公布为省级以上智能制造优秀场景、智能制造示范工厂、绿色工厂、绿色供应链管理企业和绿色设计示范企业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J.进入区域性股权交易市场“专精特新”专板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K.企业按要求每月在工业和信息化部“全国中小企业生产经营运行监测平台”报送数据，至申报时至少累计报送6个月以上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（四）创新能力指标（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与企业主导产品相关的有效知识产权数量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（单选，满分10分）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A.Ⅰ类高价值知识产权1项以上（10分）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B.自主研发Ⅰ类知识产权1项以上（8分）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C.Ⅰ类知识产权1项以上（6分）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D.Ⅱ类知识产权1项以上（2分）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E.无（0分）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  <w:lang w:val="en-US" w:eastAsia="zh-CN"/>
              </w:rPr>
              <w:t>11.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上年度研发费用投入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  <w:lang w:eastAsia="zh-CN"/>
              </w:rPr>
              <w:t>单选，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满分10分）</w:t>
            </w: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 研发费用总额500万元以上或研发费用总额占营业收入总额比重在10%以上（10分）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 研发费用总额400-500万元或研发费用总额占营业收入总额比重在8%-10%（8分）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 研发费用总额300-400万元或研发费用总额占营业收入总额比重在6%-8%（6分）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D. 研发费用总额200-300万元或研发费用总额占营业收入总额比重在4%-6%（4分）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E. 研发费用总额100-200万元或研发费用总额占营业收入总额比重在3%-4%（2分）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F. 不属于以上情况（0分）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12.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上年度研发人员占比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  <w:lang w:eastAsia="zh-CN"/>
              </w:rPr>
              <w:t>单选，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满分5分）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 20%以上（5分）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 10%-20%（3分）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 5%-10%（1分）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D. 5%以下（0分）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13.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建立研发机构级别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（单选，满分10分）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A.国家级（10分）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B.省级（8分）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C.市级（4分）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D.市级以下（2分）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E.未建立研发机构（0分）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（以下内容企业无需填报）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专家组意见</w:t>
            </w:r>
          </w:p>
        </w:tc>
        <w:tc>
          <w:tcPr>
            <w:tcW w:w="7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1.是否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满足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基本条件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.专家组评价总分：_________（分）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评审结论：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专家组签字</w:t>
            </w:r>
          </w:p>
        </w:tc>
        <w:tc>
          <w:tcPr>
            <w:tcW w:w="7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36485"/>
    <w:rsid w:val="27D67941"/>
    <w:rsid w:val="3EAB0813"/>
    <w:rsid w:val="6A74B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叛逆宠儿</cp:lastModifiedBy>
  <dcterms:modified xsi:type="dcterms:W3CDTF">2024-04-23T08:19:03Z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A5D32945A587410D9BF4877C71169A27_13</vt:lpwstr>
  </property>
</Properties>
</file>