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wordWrap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福州市引进特级人才工作绩效评估方案</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本方案针对全职创新类、全职创业类及柔性引进类特级人才团队的在榕工作成效进行评估。柔性引进类的特级人才团队，经“一事一议”确定项目经费补助总额后，按本方案进行评估。</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一、评估方式</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考核评估实行打分制，分为人才引进培养、创新项目实施与科技平台建设、项目成果产出三项指标，每项指标按A、B、C、D四档进行划分。</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二、评估内容</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880"/>
        <w:gridCol w:w="766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shd w:val="clear"/>
            <w:vAlign w:val="top"/>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考评指标</w:t>
            </w:r>
          </w:p>
        </w:tc>
        <w:tc>
          <w:tcPr>
            <w:tcW w:w="3634" w:type="pct"/>
            <w:shd w:val="clear"/>
            <w:vAlign w:val="top"/>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人才引进培养</w:t>
            </w: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1.新增引育全职人才数量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continue"/>
            <w:shd w:val="clear"/>
            <w:vAlign w:val="center"/>
          </w:tcPr>
          <w:p>
            <w:pPr>
              <w:rPr>
                <w:rFonts w:hint="eastAsia" w:ascii="宋体" w:hAnsi="宋体" w:eastAsia="宋体" w:cs="宋体"/>
                <w:sz w:val="21"/>
                <w:szCs w:val="21"/>
              </w:rPr>
            </w:pP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2.柔性引进人才数量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continue"/>
            <w:shd w:val="clear"/>
            <w:vAlign w:val="center"/>
          </w:tcPr>
          <w:p>
            <w:pPr>
              <w:rPr>
                <w:rFonts w:hint="eastAsia" w:ascii="宋体" w:hAnsi="宋体" w:eastAsia="宋体" w:cs="宋体"/>
                <w:sz w:val="21"/>
                <w:szCs w:val="21"/>
              </w:rPr>
            </w:pP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3.人才平台建设数量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创新项目实施与科技平台建设</w:t>
            </w: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1.策划或承担重大项目/课题的数量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continue"/>
            <w:shd w:val="clear"/>
            <w:vAlign w:val="center"/>
          </w:tcPr>
          <w:p>
            <w:pPr>
              <w:rPr>
                <w:rFonts w:hint="eastAsia" w:ascii="宋体" w:hAnsi="宋体" w:eastAsia="宋体" w:cs="宋体"/>
                <w:sz w:val="21"/>
                <w:szCs w:val="21"/>
              </w:rPr>
            </w:pP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2.搭建科技创新平台的成效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continue"/>
            <w:shd w:val="clear"/>
            <w:vAlign w:val="center"/>
          </w:tcPr>
          <w:p>
            <w:pPr>
              <w:rPr>
                <w:rFonts w:hint="eastAsia" w:ascii="宋体" w:hAnsi="宋体" w:eastAsia="宋体" w:cs="宋体"/>
                <w:sz w:val="21"/>
                <w:szCs w:val="21"/>
              </w:rPr>
            </w:pP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3.转化科技成果数量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5" w:type="pct"/>
            <w:vMerge w:val="continue"/>
            <w:shd w:val="clear"/>
            <w:vAlign w:val="center"/>
          </w:tcPr>
          <w:p>
            <w:pPr>
              <w:rPr>
                <w:rFonts w:hint="eastAsia" w:ascii="宋体" w:hAnsi="宋体" w:eastAsia="宋体" w:cs="宋体"/>
                <w:sz w:val="21"/>
                <w:szCs w:val="21"/>
              </w:rPr>
            </w:pPr>
          </w:p>
        </w:tc>
        <w:tc>
          <w:tcPr>
            <w:tcW w:w="3634"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4.特级人才团队在榕投入</w:t>
            </w:r>
          </w:p>
        </w:tc>
      </w:tr>
    </w:tbl>
    <w:p>
      <w:pPr>
        <w:rPr>
          <w:vanish/>
          <w:sz w:val="24"/>
          <w:szCs w:val="24"/>
        </w:rPr>
      </w:pP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886"/>
        <w:gridCol w:w="76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8"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项目成果产出</w:t>
            </w:r>
          </w:p>
        </w:tc>
        <w:tc>
          <w:tcPr>
            <w:tcW w:w="3631"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1.带动效应情况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8" w:type="pct"/>
            <w:vMerge w:val="continue"/>
            <w:shd w:val="clear"/>
            <w:vAlign w:val="center"/>
          </w:tcPr>
          <w:p>
            <w:pPr>
              <w:rPr>
                <w:rFonts w:hint="eastAsia" w:ascii="宋体" w:hAnsi="宋体" w:eastAsia="宋体" w:cs="宋体"/>
                <w:sz w:val="21"/>
                <w:szCs w:val="21"/>
              </w:rPr>
            </w:pPr>
          </w:p>
        </w:tc>
        <w:tc>
          <w:tcPr>
            <w:tcW w:w="3631"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2.营业收入情况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8" w:type="pct"/>
            <w:vMerge w:val="continue"/>
            <w:shd w:val="clear"/>
            <w:vAlign w:val="center"/>
          </w:tcPr>
          <w:p>
            <w:pPr>
              <w:rPr>
                <w:rFonts w:hint="eastAsia" w:ascii="宋体" w:hAnsi="宋体" w:eastAsia="宋体" w:cs="宋体"/>
                <w:sz w:val="21"/>
                <w:szCs w:val="21"/>
              </w:rPr>
            </w:pPr>
          </w:p>
        </w:tc>
        <w:tc>
          <w:tcPr>
            <w:tcW w:w="3631"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3.发明专利情况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368" w:type="pct"/>
            <w:vMerge w:val="continue"/>
            <w:shd w:val="clear"/>
            <w:vAlign w:val="center"/>
          </w:tcPr>
          <w:p>
            <w:pPr>
              <w:rPr>
                <w:rFonts w:hint="eastAsia" w:ascii="宋体" w:hAnsi="宋体" w:eastAsia="宋体" w:cs="宋体"/>
                <w:sz w:val="21"/>
                <w:szCs w:val="21"/>
              </w:rPr>
            </w:pPr>
          </w:p>
        </w:tc>
        <w:tc>
          <w:tcPr>
            <w:tcW w:w="3631" w:type="pct"/>
            <w:shd w:val="clear"/>
            <w:vAlign w:val="top"/>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4.企业对地方财政贡献</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三、经费拨付</w:t>
      </w:r>
    </w:p>
    <w:p>
      <w:pPr>
        <w:pStyle w:val="4"/>
        <w:keepNext w:val="0"/>
        <w:keepLines w:val="0"/>
        <w:widowControl/>
        <w:suppressLineNumbers w:val="0"/>
        <w:wordWrap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项目经费实行分期拨付，原则上项目实施周期不超过5年，特级人才来榕创新创业，落地后即给予项目资金总额的20%作为启动资金，第一年共拨付总额的40%，剩下的60%，在项目完成后，由特级人才团队向市科协提出绩效考评申请，并根据考评结果拨付相应比例金额。</w:t>
      </w:r>
    </w:p>
    <w:tbl>
      <w:tblPr>
        <w:tblW w:w="5000"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3410"/>
        <w:gridCol w:w="2878"/>
        <w:gridCol w:w="42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000" w:type="pct"/>
            <w:gridSpan w:val="3"/>
            <w:shd w:val="clear"/>
            <w:vAlign w:val="top"/>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项目资金补助总额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616" w:type="pct"/>
            <w:shd w:val="clear"/>
            <w:vAlign w:val="top"/>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40%</w:t>
            </w:r>
          </w:p>
        </w:tc>
        <w:tc>
          <w:tcPr>
            <w:tcW w:w="3383" w:type="pct"/>
            <w:gridSpan w:val="2"/>
            <w:shd w:val="clear"/>
            <w:vAlign w:val="top"/>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61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来榕创新创业第一年内拨付</w:t>
            </w:r>
          </w:p>
        </w:tc>
        <w:tc>
          <w:tcPr>
            <w:tcW w:w="1364"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根据人才引进培养、创新项目实施与科技平台建设、项目成果产出三项指标评估</w:t>
            </w:r>
          </w:p>
        </w:tc>
        <w:tc>
          <w:tcPr>
            <w:tcW w:w="2019" w:type="pct"/>
            <w:shd w:val="clear"/>
            <w:vAlign w:val="center"/>
          </w:tcPr>
          <w:p>
            <w:pPr>
              <w:pStyle w:val="4"/>
              <w:keepNext w:val="0"/>
              <w:keepLines w:val="0"/>
              <w:widowControl/>
              <w:suppressLineNumbers w:val="0"/>
              <w:spacing w:line="21" w:lineRule="atLeast"/>
              <w:rPr>
                <w:rFonts w:hint="eastAsia" w:ascii="宋体" w:hAnsi="宋体" w:eastAsia="宋体" w:cs="宋体"/>
                <w:sz w:val="21"/>
                <w:szCs w:val="21"/>
              </w:rPr>
            </w:pPr>
            <w:r>
              <w:rPr>
                <w:rStyle w:val="7"/>
                <w:rFonts w:hint="eastAsia" w:ascii="宋体" w:hAnsi="宋体" w:eastAsia="宋体" w:cs="宋体"/>
                <w:sz w:val="21"/>
                <w:szCs w:val="21"/>
              </w:rPr>
              <w:t>拨付剩余资金的100%</w:t>
            </w:r>
            <w:r>
              <w:rPr>
                <w:rFonts w:hint="eastAsia" w:ascii="宋体" w:hAnsi="宋体" w:eastAsia="宋体" w:cs="宋体"/>
                <w:sz w:val="21"/>
                <w:szCs w:val="21"/>
              </w:rPr>
              <w:t>：三项指标皆为A档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616" w:type="pct"/>
            <w:vMerge w:val="continue"/>
            <w:shd w:val="clear"/>
            <w:vAlign w:val="center"/>
          </w:tcPr>
          <w:p>
            <w:pPr>
              <w:rPr>
                <w:rFonts w:hint="eastAsia" w:ascii="宋体" w:hAnsi="宋体" w:eastAsia="宋体" w:cs="宋体"/>
                <w:sz w:val="21"/>
                <w:szCs w:val="21"/>
              </w:rPr>
            </w:pPr>
          </w:p>
        </w:tc>
        <w:tc>
          <w:tcPr>
            <w:tcW w:w="1364" w:type="pct"/>
            <w:vMerge w:val="continue"/>
            <w:shd w:val="clear"/>
            <w:vAlign w:val="center"/>
          </w:tcPr>
          <w:p>
            <w:pPr>
              <w:rPr>
                <w:rFonts w:hint="eastAsia" w:ascii="宋体" w:hAnsi="宋体" w:eastAsia="宋体" w:cs="宋体"/>
                <w:sz w:val="21"/>
                <w:szCs w:val="21"/>
              </w:rPr>
            </w:pPr>
          </w:p>
        </w:tc>
        <w:tc>
          <w:tcPr>
            <w:tcW w:w="2019" w:type="pct"/>
            <w:shd w:val="clear"/>
            <w:vAlign w:val="center"/>
          </w:tcPr>
          <w:p>
            <w:pPr>
              <w:pStyle w:val="4"/>
              <w:keepNext w:val="0"/>
              <w:keepLines w:val="0"/>
              <w:widowControl/>
              <w:suppressLineNumbers w:val="0"/>
              <w:spacing w:line="21" w:lineRule="atLeast"/>
              <w:rPr>
                <w:rFonts w:hint="eastAsia" w:ascii="宋体" w:hAnsi="宋体" w:eastAsia="宋体" w:cs="宋体"/>
                <w:sz w:val="21"/>
                <w:szCs w:val="21"/>
              </w:rPr>
            </w:pPr>
            <w:r>
              <w:rPr>
                <w:rStyle w:val="7"/>
                <w:rFonts w:hint="eastAsia" w:ascii="宋体" w:hAnsi="宋体" w:eastAsia="宋体" w:cs="宋体"/>
                <w:sz w:val="21"/>
                <w:szCs w:val="21"/>
              </w:rPr>
              <w:t>拨付剩余资金的70%</w:t>
            </w:r>
            <w:r>
              <w:rPr>
                <w:rFonts w:hint="eastAsia" w:ascii="宋体" w:hAnsi="宋体" w:eastAsia="宋体" w:cs="宋体"/>
                <w:sz w:val="21"/>
                <w:szCs w:val="21"/>
              </w:rPr>
              <w:t>：有两项指标为A档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616" w:type="pct"/>
            <w:vMerge w:val="continue"/>
            <w:shd w:val="clear"/>
            <w:vAlign w:val="center"/>
          </w:tcPr>
          <w:p>
            <w:pPr>
              <w:rPr>
                <w:rFonts w:hint="eastAsia" w:ascii="宋体" w:hAnsi="宋体" w:eastAsia="宋体" w:cs="宋体"/>
                <w:sz w:val="21"/>
                <w:szCs w:val="21"/>
              </w:rPr>
            </w:pPr>
          </w:p>
        </w:tc>
        <w:tc>
          <w:tcPr>
            <w:tcW w:w="1364" w:type="pct"/>
            <w:vMerge w:val="continue"/>
            <w:shd w:val="clear"/>
            <w:vAlign w:val="center"/>
          </w:tcPr>
          <w:p>
            <w:pPr>
              <w:rPr>
                <w:rFonts w:hint="eastAsia" w:ascii="宋体" w:hAnsi="宋体" w:eastAsia="宋体" w:cs="宋体"/>
                <w:sz w:val="21"/>
                <w:szCs w:val="21"/>
              </w:rPr>
            </w:pPr>
          </w:p>
        </w:tc>
        <w:tc>
          <w:tcPr>
            <w:tcW w:w="2019" w:type="pct"/>
            <w:shd w:val="clear"/>
            <w:vAlign w:val="center"/>
          </w:tcPr>
          <w:p>
            <w:pPr>
              <w:pStyle w:val="4"/>
              <w:keepNext w:val="0"/>
              <w:keepLines w:val="0"/>
              <w:widowControl/>
              <w:suppressLineNumbers w:val="0"/>
              <w:spacing w:line="21" w:lineRule="atLeast"/>
              <w:rPr>
                <w:rFonts w:hint="eastAsia" w:ascii="宋体" w:hAnsi="宋体" w:eastAsia="宋体" w:cs="宋体"/>
                <w:sz w:val="21"/>
                <w:szCs w:val="21"/>
              </w:rPr>
            </w:pPr>
            <w:r>
              <w:rPr>
                <w:rStyle w:val="7"/>
                <w:rFonts w:hint="eastAsia" w:ascii="宋体" w:hAnsi="宋体" w:eastAsia="宋体" w:cs="宋体"/>
                <w:sz w:val="21"/>
                <w:szCs w:val="21"/>
              </w:rPr>
              <w:t>拨付剩余资金的50%</w:t>
            </w:r>
            <w:r>
              <w:rPr>
                <w:rFonts w:hint="eastAsia" w:ascii="宋体" w:hAnsi="宋体" w:eastAsia="宋体" w:cs="宋体"/>
                <w:sz w:val="21"/>
                <w:szCs w:val="21"/>
              </w:rPr>
              <w:t>：三项指标皆为C档及以上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616" w:type="pct"/>
            <w:vMerge w:val="continue"/>
            <w:shd w:val="clear"/>
            <w:vAlign w:val="center"/>
          </w:tcPr>
          <w:p>
            <w:pPr>
              <w:rPr>
                <w:rFonts w:hint="eastAsia" w:ascii="宋体" w:hAnsi="宋体" w:eastAsia="宋体" w:cs="宋体"/>
                <w:sz w:val="21"/>
                <w:szCs w:val="21"/>
              </w:rPr>
            </w:pPr>
          </w:p>
        </w:tc>
        <w:tc>
          <w:tcPr>
            <w:tcW w:w="1364" w:type="pct"/>
            <w:vMerge w:val="continue"/>
            <w:shd w:val="clear"/>
            <w:vAlign w:val="center"/>
          </w:tcPr>
          <w:p>
            <w:pPr>
              <w:rPr>
                <w:rFonts w:hint="eastAsia" w:ascii="宋体" w:hAnsi="宋体" w:eastAsia="宋体" w:cs="宋体"/>
                <w:sz w:val="21"/>
                <w:szCs w:val="21"/>
              </w:rPr>
            </w:pPr>
          </w:p>
        </w:tc>
        <w:tc>
          <w:tcPr>
            <w:tcW w:w="2019" w:type="pct"/>
            <w:shd w:val="clear"/>
            <w:vAlign w:val="center"/>
          </w:tcPr>
          <w:p>
            <w:pPr>
              <w:pStyle w:val="4"/>
              <w:keepNext w:val="0"/>
              <w:keepLines w:val="0"/>
              <w:widowControl/>
              <w:suppressLineNumbers w:val="0"/>
              <w:spacing w:line="21" w:lineRule="atLeast"/>
              <w:rPr>
                <w:rFonts w:hint="eastAsia" w:ascii="宋体" w:hAnsi="宋体" w:eastAsia="宋体" w:cs="宋体"/>
                <w:sz w:val="21"/>
                <w:szCs w:val="21"/>
              </w:rPr>
            </w:pPr>
            <w:r>
              <w:rPr>
                <w:rStyle w:val="7"/>
                <w:rFonts w:hint="eastAsia" w:ascii="宋体" w:hAnsi="宋体" w:eastAsia="宋体" w:cs="宋体"/>
                <w:sz w:val="21"/>
                <w:szCs w:val="21"/>
              </w:rPr>
              <w:t>不再拨付剩余资金</w:t>
            </w:r>
            <w:r>
              <w:rPr>
                <w:rFonts w:hint="eastAsia" w:ascii="宋体" w:hAnsi="宋体" w:eastAsia="宋体" w:cs="宋体"/>
                <w:sz w:val="21"/>
                <w:szCs w:val="21"/>
              </w:rPr>
              <w:t>：未满足以上三类目标绩效的情况</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三项指标皆为A档，拨付剩余资金的100%；有两项指标为A档，拨付剩余资金的70%；三项指标皆为C档及以上，拨付剩余资金的50%；未满足以上三类目标绩效的情况，不再拨付剩余项目资金。</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四、评估细则</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（一）全职创新类/柔性引进类评估细则</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1.人才引进培养</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399"/>
        <w:gridCol w:w="3026"/>
        <w:gridCol w:w="512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7"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c>
          <w:tcPr>
            <w:tcW w:w="1434"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考评内容</w:t>
            </w:r>
          </w:p>
        </w:tc>
        <w:tc>
          <w:tcPr>
            <w:tcW w:w="2428"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37"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新增引育全职人才数量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相当于福建省高层次A类人才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37" w:type="pct"/>
            <w:vMerge w:val="continue"/>
            <w:shd w:val="clear"/>
            <w:vAlign w:val="center"/>
          </w:tcPr>
          <w:p>
            <w:pPr>
              <w:rPr>
                <w:rFonts w:hint="eastAsia" w:ascii="宋体" w:hAnsi="宋体" w:eastAsia="宋体" w:cs="宋体"/>
                <w:sz w:val="21"/>
                <w:szCs w:val="21"/>
              </w:rPr>
            </w:pP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相当于福建省高层次B类人才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37" w:type="pct"/>
            <w:vMerge w:val="continue"/>
            <w:shd w:val="clear"/>
            <w:vAlign w:val="center"/>
          </w:tcPr>
          <w:p>
            <w:pPr>
              <w:rPr>
                <w:rFonts w:hint="eastAsia" w:ascii="宋体" w:hAnsi="宋体" w:eastAsia="宋体" w:cs="宋体"/>
                <w:sz w:val="21"/>
                <w:szCs w:val="21"/>
              </w:rPr>
            </w:pP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其他高级人才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每引进或培育1名，得3分（封顶30分）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7" w:type="pct"/>
            <w:vMerge w:val="continue"/>
            <w:shd w:val="clear"/>
            <w:vAlign w:val="center"/>
          </w:tcPr>
          <w:p>
            <w:pPr>
              <w:rPr>
                <w:rFonts w:hint="eastAsia" w:ascii="宋体" w:hAnsi="宋体" w:eastAsia="宋体" w:cs="宋体"/>
                <w:sz w:val="21"/>
                <w:szCs w:val="21"/>
              </w:rPr>
            </w:pP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相当于福建省产业领军团队</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每引进或培育1支，得10分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7"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柔性引进人才数量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相当于福建省高层次A类人才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7" w:type="pct"/>
            <w:vMerge w:val="continue"/>
            <w:shd w:val="clear"/>
            <w:vAlign w:val="center"/>
          </w:tcPr>
          <w:p>
            <w:pPr>
              <w:rPr>
                <w:rFonts w:hint="eastAsia" w:ascii="宋体" w:hAnsi="宋体" w:eastAsia="宋体" w:cs="宋体"/>
                <w:sz w:val="21"/>
                <w:szCs w:val="21"/>
              </w:rPr>
            </w:pP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相当于福建省高层次B类人才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37" w:type="pct"/>
            <w:vMerge w:val="continue"/>
            <w:shd w:val="clear"/>
            <w:vAlign w:val="center"/>
          </w:tcPr>
          <w:p>
            <w:pPr>
              <w:rPr>
                <w:rFonts w:hint="eastAsia" w:ascii="宋体" w:hAnsi="宋体" w:eastAsia="宋体" w:cs="宋体"/>
                <w:sz w:val="21"/>
                <w:szCs w:val="21"/>
              </w:rPr>
            </w:pPr>
          </w:p>
        </w:tc>
        <w:tc>
          <w:tcPr>
            <w:tcW w:w="143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其他高级人才</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每帮助我市企事业单位与1名专家开展实质性合作、签订协议并通过验收认定，得2分</w:t>
            </w:r>
          </w:p>
        </w:tc>
      </w:tr>
    </w:tbl>
    <w:p>
      <w:pPr>
        <w:rPr>
          <w:vanish/>
          <w:sz w:val="24"/>
          <w:szCs w:val="24"/>
        </w:rPr>
      </w:pP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397"/>
        <w:gridCol w:w="3028"/>
        <w:gridCol w:w="512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人才平台建设数量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1435"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新增国家级博士后科研工作站</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每帮助我市1家企业建站，得20分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136" w:type="pct"/>
            <w:vMerge w:val="continue"/>
            <w:shd w:val="clear"/>
            <w:vAlign w:val="center"/>
          </w:tcPr>
          <w:p>
            <w:pPr>
              <w:rPr>
                <w:rFonts w:hint="eastAsia" w:ascii="宋体" w:hAnsi="宋体" w:eastAsia="宋体" w:cs="宋体"/>
                <w:sz w:val="21"/>
                <w:szCs w:val="21"/>
              </w:rPr>
            </w:pPr>
          </w:p>
        </w:tc>
        <w:tc>
          <w:tcPr>
            <w:tcW w:w="1435"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新增省级博士后创新基地</w:t>
            </w:r>
          </w:p>
        </w:tc>
        <w:tc>
          <w:tcPr>
            <w:tcW w:w="2428"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每帮助我市1家企业创建基地，得5分</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A档：85分及以上；B档70-84分，C档60-69分，D档0-59分。</w:t>
      </w:r>
    </w:p>
    <w:p>
      <w:pPr>
        <w:pStyle w:val="4"/>
        <w:keepNext w:val="0"/>
        <w:keepLines w:val="0"/>
        <w:widowControl/>
        <w:suppressLineNumbers w:val="0"/>
        <w:wordWrap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①相当于福建省高层次ABC类人才：参照《福建省高层次人才认定标准》，提供相关人才项目入选文件或发表论文等证明材料即可在评估时直接认定。</w:t>
      </w:r>
    </w:p>
    <w:p>
      <w:pPr>
        <w:pStyle w:val="4"/>
        <w:keepNext w:val="0"/>
        <w:keepLines w:val="0"/>
        <w:widowControl/>
        <w:suppressLineNumbers w:val="0"/>
        <w:wordWrap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②其他高级人才主要包括：相当于福建省高层次C类人才、市校企三方合作引进人才、在站博士后、全日制博士、全日制硕士的副高及以上职称、高级技师以上高技能人才等。</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③相当于福建省产业领军团队：符合《福建省产业领军团队遴选和支持办法（试行）》规定的项目领域、领军人才、团队成员、研发水准、企业条件有关要求。</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2.创新项目实施与科技平台建设（共100分）</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201"/>
        <w:gridCol w:w="83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43"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c>
          <w:tcPr>
            <w:tcW w:w="3956"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43"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特级人才或团队成员在榕</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策划或承担重大项目/课题的数量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获国家级项目2项及以上或国家级课题4项及以上；或获国家科技奖励1项及以上或省级科技奖励一等奖1项及以上（24—30分）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获国家级项目1项及以上或省级重大项目、揭榜挂帅项目2项及以上；或获省级科技奖励二等奖2项及以上（21—23分）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市级重大项目或揭榜挂帅项目2项及以上；或获省级科技奖励二等奖1项及以上（18—20分）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特级人才领衔在榕搭建的</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科技创新平台</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领衔搭建的创新平台作为牵头单位获评国家重点实验室、各部委创新中心等其他同等级别平台（24—30分）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领衔搭建的创新平台作为牵头单位获评省级重点实验室、新型研发机构或省级各委办厅创新中心等其他同等级别平台（21—23分）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领衔搭建的创新平台作为牵头单位获评市级行业技术中心、现代农业创新基地或市级各委办局创新中心等其他同等级别平台（18—20分）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特级人才或团队成员在榕转化科技成果数量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（40分）</w:t>
            </w: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特级人才或团队成员在榕转化科技成果数量10项及以上/年或技术交易额达500万元（含）以上/年或发明专利10项及以上/年（32—40分）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特级人才或团队成员在榕转化科技成果数量5项及以上/年或技术交易额达300万元（含）—500万元/年或发明专利5项及以上/年（28—31分）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043" w:type="pct"/>
            <w:vMerge w:val="continue"/>
            <w:shd w:val="clear"/>
            <w:vAlign w:val="center"/>
          </w:tcPr>
          <w:p>
            <w:pPr>
              <w:rPr>
                <w:rFonts w:hint="eastAsia" w:ascii="宋体" w:hAnsi="宋体" w:eastAsia="宋体" w:cs="宋体"/>
                <w:sz w:val="21"/>
                <w:szCs w:val="21"/>
              </w:rPr>
            </w:pPr>
          </w:p>
        </w:tc>
        <w:tc>
          <w:tcPr>
            <w:tcW w:w="3956"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特级人才或团队成员在榕转化科技成果数量3项及以上/年或技术交易额达200万元（含）—300万元/年或发明专利3项及以上/年（24—27分）</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A档:81—100分，B档:71—80分，C档:60—70分，D档0—59分。</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3.项目成果产出</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127"/>
        <w:gridCol w:w="842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Header/>
          <w:tblCellSpacing w:w="0" w:type="dxa"/>
        </w:trPr>
        <w:tc>
          <w:tcPr>
            <w:tcW w:w="1008"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c>
          <w:tcPr>
            <w:tcW w:w="3991"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08"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带动效应</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3991"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帮助企业成功转型为规上工业高技术产业企业得5分/家，帮助企业新研发战略性新兴产业产品得2分/项；特级人才作为团队领军人才或第一、二核心成员获批省级产业领军团队得15分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08"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营业收入</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3991"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在榕特级人才团队与福州企业合作累计新增的营业收入得分，每实现营业收入100万元得1分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08"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发明专利</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3991"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以在榕创新主体或合作单位为第一完成单位身份申请与在榕项目相关的发明专利数量计分，发明专利进入实质审查阶段得1分/项，获得授权得3分/项</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A档：85分以上（含85分），B档：70—84分，C档：60—69分，D档0—59分。</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（二）全职创业类评估细则</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1.人才引进培养</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2178"/>
        <w:gridCol w:w="2773"/>
        <w:gridCol w:w="559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c>
          <w:tcPr>
            <w:tcW w:w="1314"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考评内容</w:t>
            </w:r>
          </w:p>
        </w:tc>
        <w:tc>
          <w:tcPr>
            <w:tcW w:w="2652"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新增引育全职人才数量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相当于福建省高层次A类人才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相当于福建省高层次B类人才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其他高级人才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每引进或培育1名，得3分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相当于福建省产业领军团队</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每引进或培育1支，得10分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柔性引进人才数量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相当于福建省高层次A类人才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相当于福建省高层次B类人才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其他高级人才</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每帮助我市企事业单位与1名专家开展实质性合作、签订协议并通过验收认定，得2分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人才平台建设数量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新增国家级博士后科研工作站</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每帮助我市1家企业建站，得20分（得分不少于20分）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032" w:type="pct"/>
            <w:vMerge w:val="continue"/>
            <w:shd w:val="clear"/>
            <w:vAlign w:val="center"/>
          </w:tcPr>
          <w:p>
            <w:pPr>
              <w:rPr>
                <w:rFonts w:hint="eastAsia" w:ascii="宋体" w:hAnsi="宋体" w:eastAsia="宋体" w:cs="宋体"/>
                <w:sz w:val="21"/>
                <w:szCs w:val="21"/>
              </w:rPr>
            </w:pPr>
          </w:p>
        </w:tc>
        <w:tc>
          <w:tcPr>
            <w:tcW w:w="1314"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新增省级博士后创新基地</w:t>
            </w:r>
          </w:p>
        </w:tc>
        <w:tc>
          <w:tcPr>
            <w:tcW w:w="2652"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每帮助我市1家企业创建基地，得5分</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A档：85分及以上；B档：70—84分，C档：60—69分，D档0—59分。</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①相当于福建省高层次ABC类人才：参照《福建省高层次人才认定标准》，提供相关人才项目入选文件或发表论文等证明材料即可在评估时直接认定。</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②其他高级人才主要包括：相当于福建省高层次C类人才、市校企三方合作引进人才、在站博士后、全日制博士、全日制硕士的副高及以上职称、高级技师以上高技能人才等。</w:t>
      </w:r>
    </w:p>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③相当于福建省产业领军团队：符合《福建省产业领军团队遴选和支持办法(试行)》规定的项目领域、领军人才、团队成员、研发水准、企业条件有关要求。</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2.创新项目实施与科技平台建设（共100分）</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785"/>
        <w:gridCol w:w="876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细分指标</w:t>
            </w:r>
          </w:p>
        </w:tc>
        <w:tc>
          <w:tcPr>
            <w:tcW w:w="4153"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84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特级人才或团队成员在榕策划或承担重大</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项目/课题的数量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（25分）</w:t>
            </w: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承接国家级/部委级产业转化项目3项及以上；或承接国家级/部委级产业转化项目1项及以上且承接省级重大项目3项及以上；或获国家科技奖励1项及以上或省级科技奖励一等奖1项及以上（21—25分）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承接国家级/部委级产业转化项目2项及以上；或承接国家级/部委级产业转化项目1项及以上且承接省级重大项目1项及以上，市级重大项目1项及以上；或获省级科技奖励二等奖2项及以上（16—20分）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承接国家级/部委级产业转化项目1项及以上；或承接省级重大项目1项及以上且承接市级重大项目1项及以上；或获省级科技奖励二等奖1项及以上（11—15分）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特级人才领衔在榕搭建的科技创新平台</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（25分）</w:t>
            </w: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领衔搭建的创新平台作为牵头单位获评国家重点实验室、各部委创新中心等其他同等级别平台（21—25分）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领衔搭建的创新平台作为牵头单位获评省级重点实验室、新型研发机构或省级各委办厅创新中心等其他同等级别平台（16—20分）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领衔搭建的创新平台作为牵头单位获评市级行业技术中心、现代农业创新基地或市级各委办局创新中心等其他同等级别平台（11—15分）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特级人才或团队成员</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在榕转化科技成果数量</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特级人才团队在榕转化科技成果数量10项及以上/年或技术交易额达500万元（含）以上/年或发明专利10项及以上/年（26—30分）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特级人才团队在榕转化科技成果数量5项及以上/年或技术交易额达300万元（含）—500万元/年或发明专利5项及以上/年（21—25分）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特级人才团队在榕转化科技成果数量3项及以上/年或技术交易额达200万元（含）—300万元/年或发明专利3项及以上/年（16—20分）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846" w:type="pct"/>
            <w:vMerge w:val="restar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特级人才或团队成员</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在榕投入</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固定资产投入或其他非科技投入3亿元以上；或总计吸引投资（不含福州市各级政府资助款项）3亿元以上（18—20分）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jc w:val="left"/>
              <w:rPr>
                <w:rFonts w:hint="eastAsia" w:ascii="宋体" w:hAnsi="宋体" w:eastAsia="宋体" w:cs="宋体"/>
                <w:sz w:val="21"/>
                <w:szCs w:val="21"/>
              </w:rPr>
            </w:pPr>
            <w:r>
              <w:rPr>
                <w:rFonts w:hint="eastAsia" w:ascii="宋体" w:hAnsi="宋体" w:eastAsia="宋体" w:cs="宋体"/>
                <w:sz w:val="21"/>
                <w:szCs w:val="21"/>
              </w:rPr>
              <w:t>固定资产投入或其他非科技投入2亿元以上；或总计吸引投资（不含福州市各级政府资助款项）2亿元以上（15—17分）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846" w:type="pct"/>
            <w:vMerge w:val="continue"/>
            <w:shd w:val="clear"/>
            <w:vAlign w:val="center"/>
          </w:tcPr>
          <w:p>
            <w:pPr>
              <w:rPr>
                <w:rFonts w:hint="eastAsia" w:ascii="宋体" w:hAnsi="宋体" w:eastAsia="宋体" w:cs="宋体"/>
                <w:sz w:val="21"/>
                <w:szCs w:val="21"/>
              </w:rPr>
            </w:pPr>
          </w:p>
        </w:tc>
        <w:tc>
          <w:tcPr>
            <w:tcW w:w="4153"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固定资产投入或其他非科技投入1亿元以上；或总计吸引投资（不含福州市各级政府资助款项）1亿元以上（11—14分）</w:t>
            </w:r>
          </w:p>
        </w:tc>
      </w:tr>
    </w:tbl>
    <w:p>
      <w:pPr>
        <w:pStyle w:val="4"/>
        <w:keepNext w:val="0"/>
        <w:keepLines w:val="0"/>
        <w:widowControl/>
        <w:suppressLineNumbers w:val="0"/>
        <w:wordWrap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A档:81—100分，B档:71—80分，C档:60—70分，D档0—59分。</w:t>
      </w:r>
    </w:p>
    <w:p>
      <w:pPr>
        <w:pStyle w:val="4"/>
        <w:keepNext w:val="0"/>
        <w:keepLines w:val="0"/>
        <w:widowControl/>
        <w:suppressLineNumbers w:val="0"/>
        <w:wordWrap w:val="0"/>
        <w:spacing w:line="21" w:lineRule="atLeast"/>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7"/>
          <w:rFonts w:hint="eastAsia" w:ascii="宋体" w:hAnsi="宋体" w:eastAsia="宋体" w:cs="宋体"/>
          <w:i w:val="0"/>
          <w:iCs w:val="0"/>
          <w:caps w:val="0"/>
          <w:color w:val="333333"/>
          <w:spacing w:val="0"/>
          <w:sz w:val="24"/>
          <w:szCs w:val="24"/>
          <w:shd w:val="clear" w:fill="FFFFFF"/>
        </w:rPr>
        <w:t>3.项目成果产出</w:t>
      </w:r>
    </w:p>
    <w:tbl>
      <w:tblPr>
        <w:tblW w:w="4999" w:type="pct"/>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990"/>
        <w:gridCol w:w="855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Header/>
          <w:tblCellSpacing w:w="0" w:type="dxa"/>
        </w:trPr>
        <w:tc>
          <w:tcPr>
            <w:tcW w:w="943"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bookmarkStart w:id="0" w:name="_GoBack"/>
            <w:r>
              <w:rPr>
                <w:rStyle w:val="7"/>
                <w:rFonts w:hint="eastAsia" w:ascii="宋体" w:hAnsi="宋体" w:eastAsia="宋体" w:cs="宋体"/>
                <w:sz w:val="21"/>
                <w:szCs w:val="21"/>
              </w:rPr>
              <w:t>细分指标</w:t>
            </w:r>
          </w:p>
        </w:tc>
        <w:tc>
          <w:tcPr>
            <w:tcW w:w="4056" w:type="pct"/>
            <w:shd w:val="clear"/>
            <w:vAlign w:val="center"/>
          </w:tcPr>
          <w:p>
            <w:pPr>
              <w:pStyle w:val="4"/>
              <w:keepNext w:val="0"/>
              <w:keepLines w:val="0"/>
              <w:widowControl/>
              <w:suppressLineNumbers w:val="0"/>
              <w:spacing w:line="21" w:lineRule="atLeast"/>
              <w:jc w:val="center"/>
              <w:rPr>
                <w:rFonts w:hint="eastAsia" w:ascii="宋体" w:hAnsi="宋体" w:eastAsia="宋体" w:cs="宋体"/>
                <w:sz w:val="21"/>
                <w:szCs w:val="21"/>
              </w:rPr>
            </w:pPr>
            <w:r>
              <w:rPr>
                <w:rStyle w:val="7"/>
                <w:rFonts w:hint="eastAsia" w:ascii="宋体" w:hAnsi="宋体" w:eastAsia="宋体" w:cs="宋体"/>
                <w:sz w:val="21"/>
                <w:szCs w:val="21"/>
              </w:rPr>
              <w:t>得分标准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943"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带动效应</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（上不封顶）</w:t>
            </w:r>
          </w:p>
        </w:tc>
        <w:tc>
          <w:tcPr>
            <w:tcW w:w="4056"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按照特级人才为主要股东培育孵化的企业创新发展情况得分，企业在境内外实现上市得30分/家，企业获评国家级高新技术企业或省级产业领军团队，或成为规上工业战略性新兴产业或高技术产业企业得15分/家，企业获评省级高新技术企业得5分/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943"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营业收入</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4056"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按照特级人才为主要股东培育孵化的企业在考核期内累计产生的主营业务收入得分，每实现主营业务收入100万元得1分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943"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发明专利</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（20分）</w:t>
            </w:r>
          </w:p>
        </w:tc>
        <w:tc>
          <w:tcPr>
            <w:tcW w:w="4056"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以在榕创新主体或合作单位为第一完成单位身份申请与在榕项目相关的发明专利数量计分，发明专利进入实质审查阶段得1分/项，获得授权得3分/项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943" w:type="pct"/>
            <w:shd w:val="clear"/>
            <w:vAlign w:val="center"/>
          </w:tcPr>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企业对地方财政贡献</w:t>
            </w:r>
          </w:p>
          <w:p>
            <w:pPr>
              <w:pStyle w:val="4"/>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（30分）</w:t>
            </w:r>
          </w:p>
        </w:tc>
        <w:tc>
          <w:tcPr>
            <w:tcW w:w="4056" w:type="pct"/>
            <w:shd w:val="clear"/>
            <w:vAlign w:val="center"/>
          </w:tcPr>
          <w:p>
            <w:pPr>
              <w:pStyle w:val="4"/>
              <w:keepNext w:val="0"/>
              <w:keepLines w:val="0"/>
              <w:widowControl/>
              <w:suppressLineNumbers w:val="0"/>
              <w:spacing w:before="0" w:beforeAutospacing="1" w:after="0" w:afterAutospacing="1" w:line="21" w:lineRule="atLeast"/>
              <w:ind w:left="0" w:right="0"/>
              <w:rPr>
                <w:rFonts w:hint="eastAsia" w:ascii="宋体" w:hAnsi="宋体" w:eastAsia="宋体" w:cs="宋体"/>
                <w:sz w:val="21"/>
                <w:szCs w:val="21"/>
              </w:rPr>
            </w:pPr>
            <w:r>
              <w:rPr>
                <w:rFonts w:hint="eastAsia" w:ascii="宋体" w:hAnsi="宋体" w:eastAsia="宋体" w:cs="宋体"/>
                <w:sz w:val="21"/>
                <w:szCs w:val="21"/>
              </w:rPr>
              <w:t>按照特级人才为主要股东培育孵化的企业在考核期内对地方财政的累计贡献得分，每实现对地方财政贡献10万元得1分</w:t>
            </w:r>
          </w:p>
        </w:tc>
      </w:tr>
      <w:bookmarkEnd w:id="0"/>
    </w:tbl>
    <w:p>
      <w:pPr>
        <w:rPr>
          <w:rFonts w:hint="eastAsia"/>
          <w:lang w:val="en-US" w:eastAsia="zh-CN"/>
        </w:rPr>
      </w:pPr>
      <w:r>
        <w:rPr>
          <w:rFonts w:hint="eastAsia" w:ascii="宋体" w:hAnsi="宋体" w:eastAsia="宋体" w:cs="宋体"/>
          <w:i w:val="0"/>
          <w:iCs w:val="0"/>
          <w:caps w:val="0"/>
          <w:color w:val="333333"/>
          <w:spacing w:val="0"/>
          <w:sz w:val="24"/>
          <w:szCs w:val="24"/>
          <w:shd w:val="clear" w:fill="FFFFFF"/>
        </w:rPr>
        <w:t>　　A档：85分以上（含85分），B档：70—84分，C档：60—69分，D档0—59分。</w:t>
      </w:r>
    </w:p>
    <w:sectPr>
      <w:footerReference r:id="rId5" w:type="default"/>
      <w:footerReference r:id="rId6" w:type="even"/>
      <w:footnotePr>
        <w:numFmt w:val="decimal"/>
      </w:footnotePr>
      <w:type w:val="continuous"/>
      <w:pgSz w:w="11900" w:h="16840"/>
      <w:pgMar w:top="720" w:right="720" w:bottom="720" w:left="72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arlett">
    <w:panose1 w:val="00000000000000000000"/>
    <w:charset w:val="00"/>
    <w:family w:val="auto"/>
    <w:pitch w:val="default"/>
    <w:sig w:usb0="00000000" w:usb1="00000000" w:usb2="00000000" w:usb3="00000000" w:csb0="80000000" w:csb1="00000000"/>
  </w:font>
  <w:font w:name="Lucida Console">
    <w:panose1 w:val="020B0609040504020204"/>
    <w:charset w:val="00"/>
    <w:family w:val="auto"/>
    <w:pitch w:val="default"/>
    <w:sig w:usb0="8000028F" w:usb1="00001800" w:usb2="00000000" w:usb3="00000000" w:csb0="0000001F" w:csb1="D7D70000"/>
  </w:font>
  <w:font w:name="Ink Free">
    <w:panose1 w:val="03080402000500000000"/>
    <w:charset w:val="00"/>
    <w:family w:val="auto"/>
    <w:pitch w:val="default"/>
    <w:sig w:usb0="80000003"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auto"/>
    <w:pitch w:val="default"/>
    <w:sig w:usb0="E4002EFF" w:usb1="C000247B" w:usb2="00000009" w:usb3="00000000" w:csb0="200001FF" w:csb1="00000000"/>
  </w:font>
  <w:font w:name="Bahnschrift SemiBold SemiCondensed">
    <w:panose1 w:val="020B0502040204020203"/>
    <w:charset w:val="00"/>
    <w:family w:val="auto"/>
    <w:pitch w:val="default"/>
    <w:sig w:usb0="A00002C7" w:usb1="00000002" w:usb2="00000000" w:usb3="00000000" w:csb0="2000019F"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auto"/>
    <w:pitch w:val="default"/>
    <w:sig w:usb0="0000028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5930900</wp:posOffset>
              </wp:positionH>
              <wp:positionV relativeFrom="page">
                <wp:posOffset>9509760</wp:posOffset>
              </wp:positionV>
              <wp:extent cx="628650" cy="133350"/>
              <wp:effectExtent l="0" t="0" r="0" b="0"/>
              <wp:wrapNone/>
              <wp:docPr id="19" name="Shape 19"/>
              <wp:cNvGraphicFramePr/>
              <a:graphic xmlns:a="http://schemas.openxmlformats.org/drawingml/2006/main">
                <a:graphicData uri="http://schemas.microsoft.com/office/word/2010/wordprocessingShape">
                  <wps:wsp>
                    <wps:cNvSpPr txBox="1"/>
                    <wps:spPr>
                      <a:xfrm>
                        <a:off x="0" y="0"/>
                        <a:ext cx="628650" cy="133350"/>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—19</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19" o:spid="_x0000_s1026" o:spt="202" type="#_x0000_t202" style="position:absolute;left:0pt;margin-left:467pt;margin-top:748.8pt;height:10.5pt;width:49.5pt;mso-position-horizontal-relative:page;mso-position-vertical-relative:page;mso-wrap-style:none;z-index:-251657216;mso-width-relative:page;mso-height-relative:page;" filled="f" stroked="f" coordsize="21600,21600" o:gfxdata="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hf029kA&#10;AAAOAQAADwAAAAAAAAABACAAAAAiAAAAZHJzL2Rvd25yZXYueG1sUEsBAhQAFAAAAAgAh07iQNlU&#10;UMWsAQAAcQMAAA4AAAAAAAAAAQAgAAAAKAEAAGRycy9lMm9Eb2MueG1sUEsFBgAAAAAGAAYAWQEA&#10;AEYFA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—19</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935355</wp:posOffset>
              </wp:positionH>
              <wp:positionV relativeFrom="page">
                <wp:posOffset>9760585</wp:posOffset>
              </wp:positionV>
              <wp:extent cx="628650" cy="133350"/>
              <wp:effectExtent l="0" t="0" r="0" b="0"/>
              <wp:wrapNone/>
              <wp:docPr id="21" name="Shape 21"/>
              <wp:cNvGraphicFramePr/>
              <a:graphic xmlns:a="http://schemas.openxmlformats.org/drawingml/2006/main">
                <a:graphicData uri="http://schemas.microsoft.com/office/word/2010/wordprocessingShape">
                  <wps:wsp>
                    <wps:cNvSpPr txBox="1"/>
                    <wps:spPr>
                      <a:xfrm>
                        <a:off x="0" y="0"/>
                        <a:ext cx="628650" cy="133350"/>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—20—</w:t>
                          </w:r>
                        </w:p>
                      </w:txbxContent>
                    </wps:txbx>
                    <wps:bodyPr wrap="none" lIns="0" tIns="0" rIns="0" bIns="0">
                      <a:spAutoFit/>
                    </wps:bodyPr>
                  </wps:wsp>
                </a:graphicData>
              </a:graphic>
            </wp:anchor>
          </w:drawing>
        </mc:Choice>
        <mc:Fallback>
          <w:pict>
            <v:shape id="Shape 21" o:spid="_x0000_s1026" o:spt="202" type="#_x0000_t202" style="position:absolute;left:0pt;margin-left:73.65pt;margin-top:768.55pt;height:10.5pt;width:49.5pt;mso-position-horizontal-relative:page;mso-position-vertical-relative:page;mso-wrap-style:none;z-index:-251657216;mso-width-relative:page;mso-height-relative:page;" filled="f" stroked="f" coordsize="21600,21600" o:gfxdata="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tGm0tgA&#10;AAANAQAADwAAAAAAAAABACAAAAAiAAAAZHJzL2Rvd25yZXYueG1sUEsBAhQAFAAAAAgAh07iQPt/&#10;gYatAQAAcQMAAA4AAAAAAAAAAQAgAAAAJwEAAGRycy9lMm9Eb2MueG1sUEsFBgAAAAAGAAYAWQEA&#10;AEYFA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ZWZhZWFiNDhkMTBkMzMwYTE5MGRjZjQ1MDVmMDMyMzQifQ=="/>
  </w:docVars>
  <w:rsids>
    <w:rsidRoot w:val="00000000"/>
    <w:rsid w:val="57DA1E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9">
    <w:name w:val="Heading #1|1_"/>
    <w:basedOn w:val="6"/>
    <w:link w:val="10"/>
    <w:qFormat/>
    <w:uiPriority w:val="0"/>
    <w:rPr>
      <w:rFonts w:ascii="宋体" w:hAnsi="宋体" w:eastAsia="宋体" w:cs="宋体"/>
      <w:sz w:val="42"/>
      <w:szCs w:val="42"/>
      <w:u w:val="none"/>
      <w:shd w:val="clear" w:color="auto" w:fill="auto"/>
      <w:lang w:val="zh-TW" w:eastAsia="zh-TW" w:bidi="zh-TW"/>
    </w:rPr>
  </w:style>
  <w:style w:type="paragraph" w:customStyle="1" w:styleId="10">
    <w:name w:val="Heading #1|1"/>
    <w:basedOn w:val="1"/>
    <w:link w:val="9"/>
    <w:qFormat/>
    <w:uiPriority w:val="0"/>
    <w:pPr>
      <w:widowControl w:val="0"/>
      <w:shd w:val="clear" w:color="auto" w:fill="auto"/>
      <w:spacing w:after="560" w:line="690" w:lineRule="exact"/>
      <w:jc w:val="center"/>
      <w:outlineLvl w:val="0"/>
    </w:pPr>
    <w:rPr>
      <w:rFonts w:ascii="宋体" w:hAnsi="宋体" w:eastAsia="宋体" w:cs="宋体"/>
      <w:sz w:val="42"/>
      <w:szCs w:val="42"/>
      <w:u w:val="none"/>
      <w:shd w:val="clear" w:color="auto" w:fill="auto"/>
      <w:lang w:val="zh-TW" w:eastAsia="zh-TW" w:bidi="zh-TW"/>
    </w:rPr>
  </w:style>
  <w:style w:type="character" w:customStyle="1" w:styleId="11">
    <w:name w:val="Header or footer|2_"/>
    <w:basedOn w:val="6"/>
    <w:link w:val="12"/>
    <w:uiPriority w:val="0"/>
    <w:rPr>
      <w:sz w:val="20"/>
      <w:szCs w:val="20"/>
      <w:u w:val="none"/>
      <w:shd w:val="clear" w:color="auto" w:fill="auto"/>
    </w:rPr>
  </w:style>
  <w:style w:type="paragraph" w:customStyle="1" w:styleId="12">
    <w:name w:val="Header or footer|2"/>
    <w:basedOn w:val="1"/>
    <w:link w:val="11"/>
    <w:qFormat/>
    <w:uiPriority w:val="0"/>
    <w:pPr>
      <w:widowControl w:val="0"/>
      <w:shd w:val="clear" w:color="auto" w:fill="auto"/>
    </w:pPr>
    <w:rPr>
      <w:sz w:val="20"/>
      <w:szCs w:val="20"/>
      <w:u w:val="none"/>
      <w:shd w:val="clear" w:color="auto" w:fill="auto"/>
    </w:rPr>
  </w:style>
  <w:style w:type="character" w:customStyle="1" w:styleId="13">
    <w:name w:val="Body text|1_"/>
    <w:basedOn w:val="6"/>
    <w:link w:val="14"/>
    <w:qFormat/>
    <w:uiPriority w:val="0"/>
    <w:rPr>
      <w:rFonts w:ascii="宋体" w:hAnsi="宋体" w:eastAsia="宋体" w:cs="宋体"/>
      <w:sz w:val="30"/>
      <w:szCs w:val="30"/>
      <w:u w:val="none"/>
      <w:shd w:val="clear" w:color="auto" w:fill="auto"/>
      <w:lang w:val="zh-TW" w:eastAsia="zh-TW" w:bidi="zh-TW"/>
    </w:rPr>
  </w:style>
  <w:style w:type="paragraph" w:customStyle="1" w:styleId="14">
    <w:name w:val="Body text|1"/>
    <w:basedOn w:val="1"/>
    <w:link w:val="13"/>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character" w:customStyle="1" w:styleId="15">
    <w:name w:val="Header or footer|1_"/>
    <w:basedOn w:val="6"/>
    <w:link w:val="16"/>
    <w:uiPriority w:val="0"/>
    <w:rPr>
      <w:b/>
      <w:bCs/>
      <w:sz w:val="30"/>
      <w:szCs w:val="30"/>
      <w:u w:val="none"/>
      <w:shd w:val="clear" w:color="auto" w:fill="auto"/>
    </w:rPr>
  </w:style>
  <w:style w:type="paragraph" w:customStyle="1" w:styleId="16">
    <w:name w:val="Header or footer|1"/>
    <w:basedOn w:val="1"/>
    <w:link w:val="15"/>
    <w:qFormat/>
    <w:uiPriority w:val="0"/>
    <w:pPr>
      <w:widowControl w:val="0"/>
      <w:shd w:val="clear" w:color="auto" w:fill="auto"/>
    </w:pPr>
    <w:rPr>
      <w:b/>
      <w:bCs/>
      <w:sz w:val="30"/>
      <w:szCs w:val="30"/>
      <w:u w:val="none"/>
      <w:shd w:val="clear" w:color="auto" w:fill="auto"/>
    </w:rPr>
  </w:style>
  <w:style w:type="character" w:customStyle="1" w:styleId="17">
    <w:name w:val="Body text|2_"/>
    <w:basedOn w:val="6"/>
    <w:link w:val="18"/>
    <w:uiPriority w:val="0"/>
    <w:rPr>
      <w:rFonts w:ascii="宋体" w:hAnsi="宋体" w:eastAsia="宋体" w:cs="宋体"/>
      <w:sz w:val="26"/>
      <w:szCs w:val="26"/>
      <w:u w:val="none"/>
      <w:shd w:val="clear" w:color="auto" w:fill="auto"/>
      <w:lang w:val="zh-TW" w:eastAsia="zh-TW" w:bidi="zh-TW"/>
    </w:rPr>
  </w:style>
  <w:style w:type="paragraph" w:customStyle="1" w:styleId="18">
    <w:name w:val="Body text|2"/>
    <w:basedOn w:val="1"/>
    <w:link w:val="17"/>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9">
    <w:name w:val="Body text|3_"/>
    <w:basedOn w:val="6"/>
    <w:link w:val="20"/>
    <w:qFormat/>
    <w:uiPriority w:val="0"/>
    <w:rPr>
      <w:b/>
      <w:bCs/>
      <w:sz w:val="30"/>
      <w:szCs w:val="30"/>
      <w:u w:val="none"/>
      <w:shd w:val="clear" w:color="auto" w:fill="auto"/>
      <w:lang w:val="zh-TW" w:eastAsia="zh-TW" w:bidi="zh-TW"/>
    </w:rPr>
  </w:style>
  <w:style w:type="paragraph" w:customStyle="1" w:styleId="20">
    <w:name w:val="Body text|3"/>
    <w:basedOn w:val="1"/>
    <w:link w:val="19"/>
    <w:qFormat/>
    <w:uiPriority w:val="0"/>
    <w:pPr>
      <w:widowControl w:val="0"/>
      <w:shd w:val="clear" w:color="auto" w:fill="auto"/>
    </w:pPr>
    <w:rPr>
      <w:b/>
      <w:bCs/>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935</TotalTime>
  <ScaleCrop>false</ScaleCrop>
  <LinksUpToDate>false</LinksUpToDate>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2023-08-21T07:27:09Z</dcterms:created>
  <dc:creator>Administrator</dc:creator>
  <cp:lastModifiedBy>叛逆宠儿</cp:lastModifiedBy>
  <dcterms:modified xsi:type="dcterms:W3CDTF">2023-08-24T03:46:46Z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E51D6B026FD74ABD81C72F1A77296072_12</vt:lpwstr>
  </property>
</Properties>
</file>