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05" w:afterAutospacing="0" w:line="324" w:lineRule="atLeast"/>
        <w:ind w:left="0" w:right="0" w:firstLine="0"/>
        <w:jc w:val="both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bookmarkStart w:id="3" w:name="_GoBack"/>
      <w:bookmarkEnd w:id="3"/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附件2</w:t>
      </w:r>
    </w:p>
    <w:p>
      <w:pPr>
        <w:pStyle w:val="2"/>
        <w:widowControl/>
        <w:spacing w:beforeAutospacing="0" w:after="105" w:afterAutospacing="0" w:line="324" w:lineRule="atLeast"/>
        <w:ind w:left="0" w:right="0" w:firstLine="0"/>
        <w:jc w:val="center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32"/>
          <w:szCs w:val="32"/>
          <w:u w:val="none"/>
        </w:rPr>
        <w:t>2023年度厦门市社会力量承办市级运动队资助评分标准</w:t>
      </w:r>
    </w:p>
    <w:tbl>
      <w:tblPr>
        <w:tblStyle w:val="3"/>
        <w:tblW w:w="86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22"/>
                <w:szCs w:val="22"/>
                <w:u w:val="none"/>
              </w:rPr>
              <w:t>一级指标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22"/>
                <w:szCs w:val="22"/>
                <w:u w:val="none"/>
              </w:rPr>
              <w:t>二级指标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22"/>
                <w:szCs w:val="22"/>
                <w:u w:val="none"/>
              </w:rPr>
              <w:t>评分标准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22"/>
                <w:szCs w:val="22"/>
                <w:u w:val="none"/>
              </w:rPr>
              <w:t>需提交材料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竞技水平（25分）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比赛成绩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（15分）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三年内，参加全国同年龄组锦标赛（或同等级别赛事，下同）获前3名得15分，参加全国同年龄组锦标赛获4-8名或全省同等赛事前3名得13分，参加全省同年龄组赛事4-8名或全市同等赛事获前3名得10分。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参加相关比赛的秩序册、成绩证明。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输送队员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（10分）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三年内，曾向国家级队伍输送运动员得 10分；向省级运动队输送运动员得8分；向市级运动队输送运动员得6分。或代表相应级别队伍参赛可得分。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提供上级运动队报调通知，或相关参赛证明（秩序册、成绩册）。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梯队建设（20分）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梯队数量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（12分）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设4个及以上年龄段梯队得12分；3个年龄段梯队得10分；2个年龄段梯队得8分。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运动队花名册，参赛秩序册。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</w:trPr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常年在训运动员人数（8分）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集体项目：40人（含）以上8分；30-39人6分；20-29人4分。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非集体项目：20人（含）以上8分；15-19人6分；10-14人4分。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运动员日常在训花名册，或训练打卡截图。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bookmarkStart w:id="0" w:name="_Hlk427221823"/>
            <w:bookmarkEnd w:id="0"/>
            <w:bookmarkStart w:id="1" w:name="_Hlk427225262"/>
            <w:bookmarkEnd w:id="1"/>
            <w:bookmarkStart w:id="2" w:name="_Hlk424627680"/>
            <w:bookmarkEnd w:id="2"/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师资力量（20分）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教练水平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（8分）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有专职高级教练员得8分；有专职中级教练员得7分；有专职初级教练员得6分。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相关资质证明、聘用合同或社保缴交材料。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教练数量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（4分）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每10名运动员，配备2名（含）以上教练员得4分，配1名教练员得2分。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运动队花名册，参赛秩序册。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教材水平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（4分）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有完整的培训规划和教材得分，没有不得分。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相关培训文件及教材。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团队保障能力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（4分）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具有医务、康复、后勤、财务保障团队，每一项得1分。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相关资质证明、聘用合同或社保缴交材料。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硬件实力（20分）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训练场地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（10分）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具备项目开展所需的自有场地或租期2年以上固定场地得10分，固定场地租期1年得6分，临时性租场不得分。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不动产权证明或场地（馆）租赁合同。实地查看。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器材设施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（4分）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具备项目开展所需器材设施得分，租借器材不得分。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器材设施采购发票等相关证明材料。实地查看。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</w:trPr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经济实力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（6分）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自有资金100万元（含）以上得6分；50万元（含）-100万元得4分；20万元（含）-50万元得2分；20万元以下不得分。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注册资本、银行账户流水等证明材料。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5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制度建设（15分）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建章立制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（8分）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具有完整的管理、财务、激励、考勤等制度，每项得2分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相关制度文件。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</w:trPr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机构延续性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（7分）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截至2022年12月31日，机构成立5年（含）以上得7分；成立3年（含）-5年得5分；成立不足3年得3分。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sz w:val="21"/>
                <w:szCs w:val="21"/>
                <w:u w:val="none"/>
              </w:rPr>
              <w:t>提供社会组织登记或企业营业执照等证明材料。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2YxM2EyNDMzMWU2YzFkMGRkNmViYzI2YzE0NWUifQ=="/>
  </w:docVars>
  <w:rsids>
    <w:rsidRoot w:val="29B134AF"/>
    <w:rsid w:val="1F977CCD"/>
    <w:rsid w:val="29B134AF"/>
    <w:rsid w:val="6823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1038</Characters>
  <Lines>0</Lines>
  <Paragraphs>0</Paragraphs>
  <TotalTime>1</TotalTime>
  <ScaleCrop>false</ScaleCrop>
  <LinksUpToDate>false</LinksUpToDate>
  <CharactersWithSpaces>1055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2023-05-09T06:46:00Z</dcterms:created>
  <dc:creator>ayuni瞌睡熊</dc:creator>
  <cp:lastModifiedBy>wy</cp:lastModifiedBy>
  <dcterms:modified xsi:type="dcterms:W3CDTF">2023-05-09T07:47:51Z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EACCEFCF0FE04A94AB464A78FBBD5F00_13</vt:lpwstr>
  </property>
</Properties>
</file>