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深圳市商务局关于深圳“瞪羚品牌”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认定办法（试行）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（公开征求意见稿）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ind w:firstLine="643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ascii="仿宋_GB2312" w:hAnsi="仿宋_GB2312" w:eastAsia="仿宋_GB2312"/>
          <w:sz w:val="32"/>
          <w:szCs w:val="32"/>
        </w:rPr>
        <w:t>根据</w:t>
      </w:r>
      <w:r>
        <w:rPr>
          <w:rFonts w:hint="eastAsia" w:ascii="仿宋_GB2312" w:hAnsi="仿宋_GB2312" w:eastAsia="仿宋_GB2312"/>
          <w:sz w:val="32"/>
          <w:szCs w:val="32"/>
        </w:rPr>
        <w:t>《深圳市关于加快建设国际消费中心城市的若干措施》（深商务规〔2022〕2号）及相关实施细则要求，为加快落实“品牌瞪羚计划”，扶持、培育一批深圳本土具备成长和发展潜力的消费品牌，进一步推动深圳国际消费中心城市建设，制定本办法。</w:t>
      </w:r>
    </w:p>
    <w:p>
      <w:pPr>
        <w:snapToGrid w:val="0"/>
        <w:spacing w:line="560" w:lineRule="exact"/>
        <w:ind w:firstLine="643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/>
          <w:sz w:val="32"/>
          <w:szCs w:val="32"/>
        </w:rPr>
        <w:t xml:space="preserve"> 本认定办法所指“瞪羚品牌企业”，是指成功跨越初创期，具有较强品牌运营能力、市场影响力、管理能力和发展潜力的高成长性消费品企业（不含品牌代理机构）。</w:t>
      </w:r>
    </w:p>
    <w:p>
      <w:pPr>
        <w:snapToGrid w:val="0"/>
        <w:spacing w:line="560" w:lineRule="exact"/>
        <w:ind w:firstLine="643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/>
          <w:sz w:val="32"/>
          <w:szCs w:val="32"/>
        </w:rPr>
        <w:t xml:space="preserve"> 按照“公开、公平、公正”的原则，鼓励符合条件的企业积极</w:t>
      </w:r>
      <w:r>
        <w:rPr>
          <w:rFonts w:ascii="仿宋_GB2312" w:hAnsi="仿宋_GB2312" w:eastAsia="仿宋_GB2312"/>
          <w:sz w:val="32"/>
          <w:szCs w:val="32"/>
        </w:rPr>
        <w:t>申报</w:t>
      </w:r>
      <w:r>
        <w:rPr>
          <w:rFonts w:hint="eastAsia" w:ascii="仿宋_GB2312" w:hAnsi="仿宋_GB2312" w:eastAsia="仿宋_GB2312"/>
          <w:sz w:val="32"/>
          <w:szCs w:val="32"/>
        </w:rPr>
        <w:t>“瞪羚品牌”，企业根据自愿原则自主申报，经政府审核、认定、社会公示、发布。</w:t>
      </w:r>
    </w:p>
    <w:p>
      <w:pPr>
        <w:snapToGrid w:val="0"/>
        <w:spacing w:line="560" w:lineRule="exact"/>
        <w:ind w:firstLine="643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/>
          <w:sz w:val="32"/>
          <w:szCs w:val="32"/>
        </w:rPr>
        <w:t xml:space="preserve"> 市商务局负责“瞪羚品牌”培育认定工作，并协调有关部门共同开展促进</w:t>
      </w:r>
      <w:r>
        <w:rPr>
          <w:rFonts w:ascii="仿宋_GB2312" w:hAnsi="仿宋_GB2312" w:eastAsia="仿宋_GB2312"/>
          <w:sz w:val="32"/>
          <w:szCs w:val="32"/>
        </w:rPr>
        <w:t>“</w:t>
      </w:r>
      <w:r>
        <w:rPr>
          <w:rFonts w:hint="eastAsia" w:ascii="仿宋_GB2312" w:hAnsi="仿宋_GB2312" w:eastAsia="仿宋_GB2312"/>
          <w:sz w:val="32"/>
          <w:szCs w:val="32"/>
        </w:rPr>
        <w:t>瞪羚品牌</w:t>
      </w:r>
      <w:r>
        <w:rPr>
          <w:rFonts w:ascii="仿宋_GB2312" w:hAnsi="仿宋_GB2312" w:eastAsia="仿宋_GB2312"/>
          <w:sz w:val="32"/>
          <w:szCs w:val="32"/>
        </w:rPr>
        <w:t>”</w:t>
      </w:r>
      <w:r>
        <w:rPr>
          <w:rFonts w:hint="eastAsia" w:ascii="仿宋_GB2312" w:hAnsi="仿宋_GB2312" w:eastAsia="仿宋_GB2312"/>
          <w:sz w:val="32"/>
          <w:szCs w:val="32"/>
        </w:rPr>
        <w:t>发展的相关工作。</w:t>
      </w:r>
    </w:p>
    <w:p>
      <w:pPr>
        <w:snapToGrid w:val="0"/>
        <w:spacing w:line="560" w:lineRule="exact"/>
        <w:ind w:firstLine="643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/>
          <w:sz w:val="32"/>
          <w:szCs w:val="32"/>
        </w:rPr>
        <w:t xml:space="preserve"> “瞪羚品牌”</w:t>
      </w:r>
      <w:r>
        <w:rPr>
          <w:rFonts w:ascii="仿宋_GB2312" w:hAnsi="仿宋_GB2312" w:eastAsia="仿宋_GB2312"/>
          <w:sz w:val="32"/>
          <w:szCs w:val="32"/>
        </w:rPr>
        <w:t>所属</w:t>
      </w:r>
      <w:r>
        <w:rPr>
          <w:rFonts w:hint="eastAsia" w:ascii="仿宋_GB2312" w:hAnsi="仿宋_GB2312" w:eastAsia="仿宋_GB2312"/>
          <w:sz w:val="32"/>
          <w:szCs w:val="32"/>
        </w:rPr>
        <w:t>企业应当符合以下条件：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（一）在深圳市（含深汕特别合作区，下同）依法登记且具有独立法人资格的企业（不含品牌代理机构）；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（二）拥有自主知识产权的品牌商标；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（三）所有关联</w:t>
      </w:r>
      <w:r>
        <w:rPr>
          <w:rFonts w:ascii="仿宋_GB2312" w:hAnsi="仿宋_GB2312" w:eastAsia="仿宋_GB2312"/>
          <w:sz w:val="32"/>
          <w:szCs w:val="32"/>
        </w:rPr>
        <w:t>法人</w:t>
      </w:r>
      <w:r>
        <w:rPr>
          <w:rFonts w:hint="eastAsia" w:ascii="仿宋_GB2312" w:hAnsi="仿宋_GB2312" w:eastAsia="仿宋_GB2312"/>
          <w:sz w:val="32"/>
          <w:szCs w:val="32"/>
        </w:rPr>
        <w:t>只</w:t>
      </w:r>
      <w:r>
        <w:rPr>
          <w:rFonts w:ascii="仿宋_GB2312" w:hAnsi="仿宋_GB2312" w:eastAsia="仿宋_GB2312"/>
          <w:sz w:val="32"/>
          <w:szCs w:val="32"/>
        </w:rPr>
        <w:t>能申报一个品牌</w:t>
      </w:r>
      <w:r>
        <w:rPr>
          <w:rFonts w:hint="eastAsia" w:ascii="仿宋_GB2312" w:hAns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该品牌上一年度销售额不低于1000万元，</w:t>
      </w:r>
      <w:r>
        <w:rPr>
          <w:rFonts w:hint="eastAsia" w:ascii="仿宋_GB2312" w:hAnsi="仿宋_GB2312" w:eastAsia="仿宋_GB2312"/>
          <w:sz w:val="32"/>
          <w:szCs w:val="32"/>
        </w:rPr>
        <w:t>以该品牌所属的企业作为申报主体；</w:t>
      </w:r>
    </w:p>
    <w:p>
      <w:pPr>
        <w:snapToGri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（四）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持续经营在3年（以上），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10年以内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首批申报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企业注册日期在2012年1月1日-2019年1月1日；为非上市公司控股或并购的企业，且尚未在境内外股票市场（新三板及各类非主板股权交易市场除外）上市；</w:t>
      </w:r>
    </w:p>
    <w:p>
      <w:pPr>
        <w:snapToGri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（五）属于消费电子、时尚服饰、黄金珠宝、钟表眼镜、国潮新品、美颜美妆、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食品餐饮、家</w:t>
      </w:r>
      <w:r>
        <w:rPr>
          <w:rFonts w:hint="eastAsia" w:ascii="仿宋_GB2312" w:hAnsi="仿宋_GB2312" w:eastAsia="仿宋_GB2312"/>
          <w:sz w:val="32"/>
          <w:szCs w:val="32"/>
        </w:rPr>
        <w:t>装家居、工艺美术、音像器材、汽车汽配、文化创意、体育旅游等领域，</w:t>
      </w:r>
      <w:r>
        <w:rPr>
          <w:rFonts w:hint="eastAsia" w:ascii="仿宋_GB2312" w:hAnsi="仿宋_GB2312" w:eastAsia="仿宋_GB2312"/>
          <w:bCs/>
          <w:sz w:val="32"/>
          <w:szCs w:val="32"/>
        </w:rPr>
        <w:t>拥有自有知识产权的消费品企业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（六）黄金珠宝、汽车汽配领域企业上一年的营业收入需在5000万元以上，15亿元以下；消费电子、时尚服饰、钟表眼镜、国潮新品、美颜美妆、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食品餐饮、家</w:t>
      </w:r>
      <w:r>
        <w:rPr>
          <w:rFonts w:hint="eastAsia" w:ascii="仿宋_GB2312" w:hAnsi="仿宋_GB2312" w:eastAsia="仿宋_GB2312"/>
          <w:sz w:val="32"/>
          <w:szCs w:val="32"/>
        </w:rPr>
        <w:t>装家居、工艺美术、音像器材、文化创意、体育旅游</w:t>
      </w:r>
      <w:r>
        <w:rPr>
          <w:rFonts w:hint="eastAsia" w:ascii="仿宋_GB2312" w:hAnsi="仿宋_GB2312" w:eastAsia="仿宋_GB2312"/>
          <w:bCs/>
          <w:sz w:val="32"/>
          <w:szCs w:val="32"/>
        </w:rPr>
        <w:t>等</w:t>
      </w:r>
      <w:r>
        <w:rPr>
          <w:rFonts w:hint="eastAsia" w:ascii="仿宋_GB2312" w:hAnsi="仿宋_GB2312" w:eastAsia="仿宋_GB2312"/>
          <w:sz w:val="32"/>
          <w:szCs w:val="32"/>
        </w:rPr>
        <w:t>领域企业上一年的营业收入需在3000万元以上，10亿元以下；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（七）近三年的营业收入复合增长率大于等于2</w:t>
      </w:r>
      <w:r>
        <w:rPr>
          <w:rFonts w:ascii="仿宋_GB2312" w:hAnsi="仿宋_GB2312" w:eastAsia="仿宋_GB2312"/>
          <w:sz w:val="32"/>
          <w:szCs w:val="32"/>
        </w:rPr>
        <w:t>0%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（八）未</w:t>
      </w:r>
      <w:r>
        <w:rPr>
          <w:rFonts w:ascii="仿宋_GB2312" w:hAnsi="仿宋_GB2312" w:eastAsia="仿宋_GB2312"/>
          <w:sz w:val="32"/>
          <w:szCs w:val="32"/>
        </w:rPr>
        <w:t>被国家、省、市有关部门列入严重失信主体名单实施惩戒，明确限制申请财政性资金项目，且在限制期内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（九）申报主体应当对申报材料的真实性、合法性、完整性负责，应如实提供本单位信用状况，作出承诺并依法承担违约责任，不得弄虚作假、套取、骗取专项资金；</w:t>
      </w:r>
    </w:p>
    <w:p>
      <w:pPr>
        <w:snapToGrid w:val="0"/>
        <w:spacing w:line="560" w:lineRule="exact"/>
        <w:ind w:firstLine="643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ascii="仿宋_GB2312" w:hAnsi="仿宋_GB2312" w:eastAsia="仿宋_GB2312"/>
          <w:sz w:val="32"/>
          <w:szCs w:val="32"/>
        </w:rPr>
        <w:t>申报</w:t>
      </w:r>
      <w:r>
        <w:rPr>
          <w:rFonts w:hint="eastAsia" w:ascii="仿宋_GB2312" w:hAnsi="仿宋_GB2312" w:eastAsia="仿宋_GB2312"/>
          <w:sz w:val="32"/>
          <w:szCs w:val="32"/>
        </w:rPr>
        <w:t>认定“瞪羚品牌”，应当提交下列材料：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（一）《深圳“瞪羚品牌”自评表》和《深圳“瞪羚品牌”申报表》，以及相关证明材料；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（二）营业执照复印件；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（三）企业近三年的信用信息报告；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（四）企业近三个年度的审计报告；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（五）所申报品牌上一年度的销售额及证明材料；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（六）企业认为有必要提供的其它补充材料。</w:t>
      </w:r>
    </w:p>
    <w:p>
      <w:pPr>
        <w:snapToGrid w:val="0"/>
        <w:spacing w:line="560" w:lineRule="exact"/>
        <w:ind w:firstLine="643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/>
          <w:sz w:val="32"/>
          <w:szCs w:val="32"/>
        </w:rPr>
        <w:t xml:space="preserve"> “瞪羚品牌”的认定，按下列程序进行：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（一）市商务局发布“瞪羚品牌”申报</w:t>
      </w:r>
      <w:r>
        <w:rPr>
          <w:rFonts w:ascii="仿宋_GB2312" w:hAnsi="仿宋_GB2312" w:eastAsia="仿宋_GB2312"/>
          <w:sz w:val="32"/>
          <w:szCs w:val="32"/>
        </w:rPr>
        <w:t>指南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（二）采取企业根据自愿原则自主申报的方式；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（三）企业按照要求向市商务局提出申请，并填写《深圳“瞪羚品牌”自评表》和《深圳“瞪羚品牌”申报表》，递交相关材料；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（四）市商务局在受理申请材料后，核查企业</w:t>
      </w:r>
      <w:r>
        <w:rPr>
          <w:rFonts w:ascii="仿宋_GB2312" w:hAnsi="仿宋_GB2312" w:eastAsia="仿宋_GB2312"/>
          <w:sz w:val="32"/>
          <w:szCs w:val="32"/>
        </w:rPr>
        <w:t>相关</w:t>
      </w:r>
      <w:r>
        <w:rPr>
          <w:rFonts w:hint="eastAsia" w:ascii="仿宋_GB2312" w:hAnsi="仿宋_GB2312" w:eastAsia="仿宋_GB2312"/>
          <w:sz w:val="32"/>
          <w:szCs w:val="32"/>
        </w:rPr>
        <w:t>信息，如有需要，将征求有关部门意见；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（五）核查后符合条件的企业，由市商务局按照《深圳市“瞪羚品牌”评价指标》进行认定、公示、公布。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进一步优化财政资金投入机制</w:t>
      </w:r>
      <w:r>
        <w:rPr>
          <w:rFonts w:hint="default" w:ascii="仿宋_GB2312" w:hAnsi="仿宋_GB2312" w:eastAsia="仿宋_GB2312" w:cs="仿宋_GB2312"/>
          <w:sz w:val="32"/>
          <w:szCs w:val="32"/>
        </w:rPr>
        <w:t>，加大本土品牌培育力度，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对于符合商务发展专项资金政策条件的</w:t>
      </w:r>
      <w:r>
        <w:rPr>
          <w:rFonts w:hint="default" w:ascii="仿宋_GB2312" w:hAnsi="仿宋_GB2312" w:eastAsia="仿宋_GB2312" w:cs="仿宋_GB2312"/>
          <w:sz w:val="32"/>
          <w:szCs w:val="32"/>
        </w:rPr>
        <w:t>“瞪羚品牌”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，市商务局在资金申报评定中予以优先支持。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各区（含新区、深汕特别合作区）商务主管部门结合实际情况积极营造企业良好发展环境，对认定的</w:t>
      </w:r>
      <w:r>
        <w:rPr>
          <w:rFonts w:hint="default" w:ascii="仿宋_GB2312" w:hAnsi="仿宋_GB2312" w:eastAsia="仿宋_GB2312" w:cs="仿宋_GB2312"/>
          <w:sz w:val="32"/>
          <w:szCs w:val="32"/>
        </w:rPr>
        <w:t>“瞪羚品牌”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给予相关政策扶持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43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</w:t>
      </w:r>
      <w:r>
        <w:rPr>
          <w:rFonts w:ascii="仿宋_GB2312" w:hAnsi="仿宋_GB2312" w:eastAsia="仿宋_GB2312"/>
          <w:b/>
          <w:sz w:val="32"/>
          <w:szCs w:val="32"/>
        </w:rPr>
        <w:t>九</w:t>
      </w:r>
      <w:r>
        <w:rPr>
          <w:rFonts w:hint="eastAsia" w:ascii="仿宋_GB2312" w:hAnsi="仿宋_GB2312" w:eastAsia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“瞪羚品牌”</w:t>
      </w:r>
      <w:r>
        <w:rPr>
          <w:rFonts w:ascii="仿宋_GB2312" w:hAnsi="仿宋_GB2312" w:eastAsia="仿宋_GB2312"/>
          <w:sz w:val="32"/>
          <w:szCs w:val="32"/>
        </w:rPr>
        <w:t>所属企业</w:t>
      </w:r>
      <w:r>
        <w:rPr>
          <w:rFonts w:hint="eastAsia" w:ascii="仿宋_GB2312" w:hAnsi="仿宋_GB2312" w:eastAsia="仿宋_GB2312"/>
          <w:sz w:val="32"/>
          <w:szCs w:val="32"/>
        </w:rPr>
        <w:t>涉及变更名称、变更注册资本以及公司合并、分立、解散、清算、股权转让、迁出等重大事项的，应及时通报市商务局。</w:t>
      </w:r>
    </w:p>
    <w:p>
      <w:pPr>
        <w:snapToGrid w:val="0"/>
        <w:spacing w:line="560" w:lineRule="exact"/>
        <w:ind w:firstLine="643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/>
          <w:sz w:val="32"/>
          <w:szCs w:val="32"/>
        </w:rPr>
        <w:t xml:space="preserve"> 申报企业应对提交资料、数据、证明材料的准确性、真实性负责，如有弄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虚作假和错报、瞒报行为，一经查实，取消相应资格和扶持政策，三年内不得再次申报。</w:t>
      </w:r>
    </w:p>
    <w:p>
      <w:pPr>
        <w:snapToGrid w:val="0"/>
        <w:spacing w:line="560" w:lineRule="exact"/>
        <w:ind w:firstLine="643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第十</w:t>
      </w:r>
      <w:r>
        <w:rPr>
          <w:rFonts w:hint="default" w:ascii="仿宋_GB2312" w:hAnsi="仿宋_GB2312" w:eastAsia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本办法由深圳市商务局负责解释。</w:t>
      </w:r>
    </w:p>
    <w:p>
      <w:pPr>
        <w:snapToGrid w:val="0"/>
        <w:spacing w:line="560" w:lineRule="exact"/>
        <w:ind w:firstLine="643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</w:t>
      </w:r>
      <w:r>
        <w:rPr>
          <w:rFonts w:hint="default" w:ascii="仿宋_GB2312" w:hAnsi="仿宋_GB2312" w:eastAsia="仿宋_GB2312"/>
          <w:b/>
          <w:sz w:val="32"/>
          <w:szCs w:val="32"/>
        </w:rPr>
        <w:t>二</w:t>
      </w:r>
      <w:r>
        <w:rPr>
          <w:rFonts w:hint="eastAsia" w:ascii="仿宋_GB2312" w:hAnsi="仿宋_GB2312" w:eastAsia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/>
          <w:sz w:val="32"/>
          <w:szCs w:val="32"/>
        </w:rPr>
        <w:t xml:space="preserve"> 本</w:t>
      </w:r>
      <w:r>
        <w:rPr>
          <w:rFonts w:ascii="仿宋_GB2312" w:hAnsi="仿宋_GB2312" w:eastAsia="仿宋_GB2312"/>
          <w:sz w:val="32"/>
          <w:szCs w:val="32"/>
        </w:rPr>
        <w:t>办法</w:t>
      </w:r>
      <w:r>
        <w:rPr>
          <w:rFonts w:hint="eastAsia" w:ascii="仿宋_GB2312" w:hAnsi="仿宋_GB2312" w:eastAsia="仿宋_GB2312"/>
          <w:sz w:val="32"/>
          <w:szCs w:val="32"/>
        </w:rPr>
        <w:t>自2022年7月 日起试行。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  <w:r>
        <w:rPr>
          <w:rFonts w:hint="default" w:ascii="仿宋_GB2312" w:hAnsi="仿宋_GB2312" w:eastAsia="仿宋_GB2312"/>
          <w:sz w:val="32"/>
          <w:szCs w:val="32"/>
        </w:rPr>
        <w:t>：1.</w:t>
      </w:r>
      <w:r>
        <w:rPr>
          <w:rFonts w:hint="eastAsia" w:ascii="仿宋_GB2312" w:hAnsi="仿宋_GB2312" w:eastAsia="仿宋_GB2312"/>
          <w:sz w:val="32"/>
          <w:szCs w:val="32"/>
        </w:rPr>
        <w:t>深圳“瞪羚品牌”自评表</w:t>
      </w:r>
    </w:p>
    <w:p>
      <w:pPr>
        <w:snapToGrid w:val="0"/>
        <w:spacing w:line="56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仿宋_GB2312" w:hAnsi="仿宋_GB2312" w:eastAsia="仿宋_GB2312"/>
          <w:sz w:val="32"/>
          <w:szCs w:val="32"/>
        </w:rPr>
        <w:t xml:space="preserve">      2.</w:t>
      </w:r>
      <w:r>
        <w:rPr>
          <w:rFonts w:hint="eastAsia" w:ascii="仿宋_GB2312" w:hAnsi="仿宋_GB2312" w:eastAsia="仿宋_GB2312"/>
          <w:sz w:val="32"/>
          <w:szCs w:val="32"/>
        </w:rPr>
        <w:t>深圳“瞪羚品牌”申报表</w:t>
      </w:r>
    </w:p>
    <w:p>
      <w:pPr>
        <w:snapToGrid w:val="0"/>
        <w:spacing w:line="560" w:lineRule="exact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8"/>
        <w:tblW w:w="48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6663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32"/>
                <w:szCs w:val="28"/>
              </w:rPr>
              <w:t>深圳“瞪羚品牌”自评表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99" w:type="pct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437" w:type="pct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申报基本条件</w:t>
            </w:r>
          </w:p>
        </w:tc>
        <w:tc>
          <w:tcPr>
            <w:tcW w:w="1065" w:type="pct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是否符合条件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99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437" w:type="pct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申报主体为在深圳市依法登记且具有独立法人资格的企业（不含品牌代理机构）。</w:t>
            </w:r>
          </w:p>
        </w:tc>
        <w:tc>
          <w:tcPr>
            <w:tcW w:w="1065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99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437" w:type="pct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拥有自主知识产权的品牌商标。</w:t>
            </w:r>
          </w:p>
        </w:tc>
        <w:tc>
          <w:tcPr>
            <w:tcW w:w="1065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499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437" w:type="pct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所有关联法人只能申报一个品牌，该品牌上一年度销售额不低于1000万元，以该品牌所属的企业作为申报主体。</w:t>
            </w:r>
          </w:p>
        </w:tc>
        <w:tc>
          <w:tcPr>
            <w:tcW w:w="1065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9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437" w:type="pct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持续经营在3年（以上），10年以内，首批申报企业注册日期在2012年1月1日-2019年1月1日为非上市公司控股或并购的企业，且尚未在境内外股票市场（新三板及各类非主板股权交易市场除外）上市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；</w:t>
            </w:r>
          </w:p>
        </w:tc>
        <w:tc>
          <w:tcPr>
            <w:tcW w:w="1065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499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437" w:type="pct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属于消费电子、时尚服饰、黄金珠宝、钟表眼镜、国潮新品、美颜美妆、食品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餐饮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、家装家居、工艺美术、音像器材、汽车汽配、文化创意、体育旅游等领域，拥有自有知识产权的消费品企业。</w:t>
            </w:r>
          </w:p>
        </w:tc>
        <w:tc>
          <w:tcPr>
            <w:tcW w:w="1065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499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437" w:type="pct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黄金珠宝、汽车汽配领域企业上一年的营业收入需在</w:t>
            </w:r>
            <w:r>
              <w:rPr>
                <w:rFonts w:ascii="仿宋_GB2312" w:hAnsi="仿宋_GB2312" w:eastAsia="仿宋_GB2312"/>
                <w:color w:val="auto"/>
                <w:sz w:val="28"/>
                <w:szCs w:val="28"/>
              </w:rPr>
              <w:t>5000万元以上，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15亿元以下；消费电子、时尚服饰、钟表眼镜、国潮新品、美颜美妆、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食品餐饮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、家装家居、工艺美术、音像器材、文化创意、体育旅游等领域企业上一年的营业收入需在</w:t>
            </w:r>
            <w:r>
              <w:rPr>
                <w:rFonts w:ascii="仿宋_GB2312" w:hAnsi="仿宋_GB2312" w:eastAsia="仿宋_GB2312"/>
                <w:color w:val="auto"/>
                <w:sz w:val="28"/>
                <w:szCs w:val="28"/>
              </w:rPr>
              <w:t>3000万元以上，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10亿元以下。</w:t>
            </w:r>
          </w:p>
        </w:tc>
        <w:tc>
          <w:tcPr>
            <w:tcW w:w="1065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99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437" w:type="pct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近三年营业收入复合增长率大于等于20%。</w:t>
            </w:r>
          </w:p>
        </w:tc>
        <w:tc>
          <w:tcPr>
            <w:tcW w:w="1065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499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437" w:type="pct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未被国家、省、市有关部门列入严重失信主体名单实施惩戒，明确限制申请财政性资金项目，且在限制期内。</w:t>
            </w:r>
          </w:p>
        </w:tc>
        <w:tc>
          <w:tcPr>
            <w:tcW w:w="1065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499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437" w:type="pct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申报主体应当对申报材料的真实性、合法性、完整性负责，应如实提供本单位信用状况，作出承诺并依法承担违约责任，不得弄虚作假、套取、骗取专项资金。</w:t>
            </w:r>
          </w:p>
        </w:tc>
        <w:tc>
          <w:tcPr>
            <w:tcW w:w="1065" w:type="pct"/>
            <w:vAlign w:val="center"/>
          </w:tcPr>
          <w:p>
            <w:pPr>
              <w:snapToGrid w:val="0"/>
              <w:spacing w:line="276" w:lineRule="auto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□是 □否</w:t>
            </w:r>
          </w:p>
        </w:tc>
      </w:tr>
    </w:tbl>
    <w:p>
      <w:pPr>
        <w:rPr>
          <w:rFonts w:ascii="仿宋_GB2312" w:hAnsi="仿宋_GB2312" w:eastAsia="仿宋_GB2312"/>
          <w:sz w:val="32"/>
          <w:szCs w:val="32"/>
        </w:rPr>
        <w:sectPr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napToGrid w:val="0"/>
        <w:spacing w:line="560" w:lineRule="exact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8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1156"/>
        <w:gridCol w:w="1363"/>
        <w:gridCol w:w="2327"/>
        <w:gridCol w:w="634"/>
        <w:gridCol w:w="960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542" w:type="dxa"/>
            <w:gridSpan w:val="7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32"/>
                <w:szCs w:val="28"/>
              </w:rPr>
              <w:t>深圳“瞪羚品牌”申报表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企业名称（全称）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注册成立日期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品牌名称及logo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员工人数</w:t>
            </w:r>
          </w:p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（社保人数）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主营产品介绍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注册地址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实际经营地址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 xml:space="preserve">法定代表人 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企业联系人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所属行业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行业代码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所属细分行业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细分行业全国市场规模（亿元）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企业简介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（5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42" w:type="dxa"/>
            <w:gridSpan w:val="7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黑体" w:hAnsi="黑体" w:eastAsia="黑体"/>
                <w:b/>
                <w:sz w:val="32"/>
                <w:szCs w:val="28"/>
              </w:rPr>
              <w:t>一、</w:t>
            </w:r>
            <w:r>
              <w:rPr>
                <w:rFonts w:hint="eastAsia" w:ascii="黑体" w:hAnsi="黑体" w:eastAsia="黑体"/>
                <w:b/>
                <w:sz w:val="32"/>
                <w:szCs w:val="28"/>
              </w:rPr>
              <w:t>品牌建设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是否有明确的品牌定位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是否有未来5年品牌发展规划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 xml:space="preserve">□是，需提供相关证明材料 </w:t>
            </w:r>
          </w:p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是否设有独立品牌部门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品牌部门最高负责人职务级别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是否完善的品牌运营管理制度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是否建立品牌培训机制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□是，需提供培训文件及记录等证明材料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专利数量（个）</w:t>
            </w:r>
          </w:p>
        </w:tc>
        <w:tc>
          <w:tcPr>
            <w:tcW w:w="1156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外观专利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实用新型专利</w:t>
            </w:r>
          </w:p>
        </w:tc>
        <w:tc>
          <w:tcPr>
            <w:tcW w:w="634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发明专利</w:t>
            </w:r>
          </w:p>
        </w:tc>
        <w:tc>
          <w:tcPr>
            <w:tcW w:w="705" w:type="dxa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是否有原创VI品牌形象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是否有国家、省、市非遗传承工艺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是否获得政府表彰（国家、省、市级）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□是，提供证书，以及相关说明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是否有独立研发部门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研发部门规模（社保人数）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研发投入占营收比例（%）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</w:p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42" w:type="dxa"/>
            <w:gridSpan w:val="7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黑体" w:hAnsi="黑体" w:eastAsia="黑体"/>
                <w:b/>
                <w:sz w:val="32"/>
                <w:szCs w:val="28"/>
              </w:rPr>
              <w:t>二、</w:t>
            </w:r>
            <w:r>
              <w:rPr>
                <w:rFonts w:hint="eastAsia" w:ascii="黑体" w:hAnsi="黑体" w:eastAsia="黑体"/>
                <w:b/>
                <w:sz w:val="32"/>
                <w:szCs w:val="28"/>
              </w:rPr>
              <w:t>品质管理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是否自有工厂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是否有第三方合作工厂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 xml:space="preserve">□是，需提供相关证明材料  </w:t>
            </w:r>
          </w:p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□否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第三方合作工厂是否通过国际质量管理认证体系（ISO、HACCP）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 xml:space="preserve">□是，需提供相关证明材料  </w:t>
            </w:r>
          </w:p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是否有完善的产品质量管理体系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是否通过国际质量管理认证体系（ISO、HACCP）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 xml:space="preserve">□是，需提供相关证明材料 </w:t>
            </w:r>
          </w:p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16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both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原材料供应商是否通过国际质量管理认证体系（ISO、HACCP）</w:t>
            </w:r>
          </w:p>
        </w:tc>
        <w:tc>
          <w:tcPr>
            <w:tcW w:w="4626" w:type="dxa"/>
            <w:gridSpan w:val="4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</w:rPr>
              <w:t>是否使用数字化协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同办公工具（如企微、钉钉、飞书等）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是否制定企业标准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主导或参与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制（修）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国际、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国家、行业、地方标准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42" w:type="dxa"/>
            <w:gridSpan w:val="7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黑体" w:hAnsi="黑体" w:eastAsia="黑体"/>
                <w:b/>
                <w:sz w:val="32"/>
                <w:szCs w:val="28"/>
              </w:rPr>
              <w:t>三、</w:t>
            </w:r>
            <w:r>
              <w:rPr>
                <w:rFonts w:hint="eastAsia" w:ascii="黑体" w:hAnsi="黑体" w:eastAsia="黑体"/>
                <w:b/>
                <w:sz w:val="32"/>
                <w:szCs w:val="28"/>
              </w:rPr>
              <w:t>渠道建设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全国门店数量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深圳门店数量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全国直营店数量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深圳直营店数量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总营业面积（m</w:t>
            </w:r>
            <w:r>
              <w:rPr>
                <w:rFonts w:ascii="仿宋_GB2312" w:hAnsi="仿宋_GB2312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国内门店覆盖城市数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</w:rPr>
              <w:t>入驻城市、购物中心及门店规模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「</w:t>
            </w:r>
            <w:r>
              <w:rPr>
                <w:rFonts w:ascii="仿宋_GB2312" w:hAnsi="仿宋_GB2312" w:eastAsia="仿宋_GB2312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1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」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入驻线上渠道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vertAlign w:val="superscript"/>
              </w:rPr>
              <w:t>「</w:t>
            </w:r>
            <w:r>
              <w:rPr>
                <w:rFonts w:ascii="仿宋_GB2312" w:hAnsi="仿宋_GB2312" w:eastAsia="仿宋_GB2312"/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vertAlign w:val="superscript"/>
              </w:rPr>
              <w:t>」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(官方旗舰店)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有自建线上销售渠道（网站、小程序、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app等）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42" w:type="dxa"/>
            <w:gridSpan w:val="7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黑体" w:hAnsi="黑体" w:eastAsia="黑体"/>
                <w:b/>
                <w:sz w:val="32"/>
                <w:szCs w:val="28"/>
              </w:rPr>
              <w:t>四、</w:t>
            </w:r>
            <w:r>
              <w:rPr>
                <w:rFonts w:hint="eastAsia" w:ascii="黑体" w:hAnsi="黑体" w:eastAsia="黑体"/>
                <w:b/>
                <w:sz w:val="32"/>
                <w:szCs w:val="28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是否有跨界联名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 xml:space="preserve">□是，介绍与知名品牌、IP跨界合作联名情况，提供相关证明材料 </w:t>
            </w:r>
            <w:r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是否开展数字化营销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 xml:space="preserve">□是，需提供使用客户关系管理（CRM）系统、私域运营工具等情况 </w:t>
            </w:r>
            <w:r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上年度广告宣传投入（万元）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上年度品牌代言投入（万元）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上年度举办非销售类品牌宣传活动次数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4626" w:type="dxa"/>
            <w:gridSpan w:val="4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  <w:vertAlign w:val="superscript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线上宣传渠道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vertAlign w:val="superscript"/>
              </w:rPr>
              <w:t>「</w:t>
            </w:r>
            <w:r>
              <w:rPr>
                <w:rFonts w:ascii="仿宋_GB2312" w:hAnsi="仿宋_GB2312" w:eastAsia="仿宋_GB2312"/>
                <w:b/>
                <w:bCs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vertAlign w:val="superscript"/>
              </w:rPr>
              <w:t>」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  <w:vertAlign w:val="superscript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线下宣传渠道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vertAlign w:val="superscript"/>
              </w:rPr>
              <w:t>「</w:t>
            </w:r>
            <w:r>
              <w:rPr>
                <w:rFonts w:ascii="仿宋_GB2312" w:hAnsi="仿宋_GB2312" w:eastAsia="仿宋_GB2312"/>
                <w:b/>
                <w:bCs/>
                <w:sz w:val="28"/>
                <w:szCs w:val="28"/>
                <w:vertAlign w:val="superscript"/>
              </w:rPr>
              <w:t>4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vertAlign w:val="superscript"/>
              </w:rPr>
              <w:t>」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是否有官方媒体宣传推广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是否有专门的售后服务团队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有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完善的售后机制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是否参与社会公益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color w:val="585858" w:themeColor="text1" w:themeTint="A6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585858" w:themeColor="text1" w:themeTint="A6"/>
                <w:sz w:val="28"/>
                <w:szCs w:val="28"/>
              </w:rPr>
              <w:t>□是，需提供相关证明材料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42" w:type="dxa"/>
            <w:gridSpan w:val="7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黑体" w:hAnsi="黑体" w:eastAsia="黑体"/>
                <w:b/>
                <w:sz w:val="32"/>
                <w:szCs w:val="28"/>
              </w:rPr>
              <w:t>五、</w:t>
            </w:r>
            <w:r>
              <w:rPr>
                <w:rFonts w:hint="eastAsia" w:ascii="黑体" w:hAnsi="黑体" w:eastAsia="黑体"/>
                <w:b/>
                <w:sz w:val="32"/>
                <w:szCs w:val="28"/>
              </w:rPr>
              <w:t>经营效益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近三年营业收入</w:t>
            </w:r>
          </w:p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年：</w:t>
            </w:r>
            <w:r>
              <w:rPr>
                <w:rFonts w:hint="eastAsia" w:ascii="仿宋_GB2312" w:hAnsi="仿宋_GB2312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年：</w:t>
            </w:r>
            <w:r>
              <w:rPr>
                <w:rFonts w:hint="eastAsia" w:ascii="仿宋_GB2312" w:hAnsi="仿宋_GB2312" w:eastAsia="仿宋_GB2312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年：</w:t>
            </w:r>
            <w:r>
              <w:rPr>
                <w:rFonts w:hint="eastAsia" w:ascii="仿宋_GB2312" w:hAnsi="仿宋_GB2312" w:eastAsia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近三年营业收入复合增长率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vertAlign w:val="superscript"/>
              </w:rPr>
              <w:t>「</w:t>
            </w:r>
            <w:r>
              <w:rPr>
                <w:rFonts w:ascii="仿宋_GB2312" w:hAnsi="仿宋_GB2312" w:eastAsia="仿宋_GB2312"/>
                <w:b/>
                <w:bCs/>
                <w:sz w:val="28"/>
                <w:szCs w:val="28"/>
                <w:vertAlign w:val="superscript"/>
              </w:rPr>
              <w:t>5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vertAlign w:val="superscript"/>
              </w:rPr>
              <w:t>」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（%）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近三年平均毛利率（%）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海外营业收入（万元）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海外销售区域（国家）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397" w:type="dxa"/>
            <w:vMerge w:val="restart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融资情况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融资轮次</w:t>
            </w:r>
          </w:p>
        </w:tc>
        <w:tc>
          <w:tcPr>
            <w:tcW w:w="4626" w:type="dxa"/>
            <w:gridSpan w:val="4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vMerge w:val="continue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累计融资金额</w:t>
            </w:r>
          </w:p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4626" w:type="dxa"/>
            <w:gridSpan w:val="4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397" w:type="dxa"/>
            <w:vMerge w:val="continue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vAlign w:val="center"/>
          </w:tcPr>
          <w:p>
            <w:pPr>
              <w:snapToGrid w:val="0"/>
              <w:ind w:right="141" w:rightChars="67"/>
              <w:contextualSpacing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投资机构名称</w:t>
            </w:r>
          </w:p>
        </w:tc>
        <w:tc>
          <w:tcPr>
            <w:tcW w:w="4626" w:type="dxa"/>
            <w:gridSpan w:val="4"/>
            <w:vAlign w:val="center"/>
          </w:tcPr>
          <w:p>
            <w:pPr>
              <w:snapToGrid w:val="0"/>
              <w:ind w:right="141" w:rightChars="67"/>
              <w:contextualSpacing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560" w:lineRule="exact"/>
        <w:contextualSpacing/>
        <w:rPr>
          <w:rFonts w:ascii="仿宋_GB2312" w:hAns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注释：</w:t>
      </w:r>
    </w:p>
    <w:p>
      <w:pPr>
        <w:snapToGrid w:val="0"/>
        <w:spacing w:line="560" w:lineRule="exact"/>
        <w:contextualSpacing/>
        <w:rPr>
          <w:rFonts w:ascii="仿宋_GB2312" w:hAns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「</w:t>
      </w:r>
      <w:r>
        <w:rPr>
          <w:rFonts w:ascii="仿宋_GB2312" w:hAnsi="仿宋_GB2312" w:eastAsia="仿宋_GB2312"/>
          <w:sz w:val="28"/>
          <w:szCs w:val="28"/>
        </w:rPr>
        <w:t>1</w:t>
      </w:r>
      <w:r>
        <w:rPr>
          <w:rFonts w:hint="eastAsia" w:ascii="仿宋_GB2312" w:hAnsi="仿宋_GB2312" w:eastAsia="仿宋_GB2312"/>
          <w:sz w:val="28"/>
          <w:szCs w:val="28"/>
        </w:rPr>
        <w:t>」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入驻城市、购物中心及门店规模：例：深圳万象天地，</w:t>
      </w:r>
      <w:r>
        <w:rPr>
          <w:rFonts w:ascii="仿宋_GB2312" w:hAnsi="仿宋_GB2312" w:eastAsia="仿宋_GB2312"/>
          <w:color w:val="000000" w:themeColor="text1"/>
          <w:sz w:val="28"/>
          <w:szCs w:val="28"/>
        </w:rPr>
        <w:t>200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</w:rPr>
        <w:t>㎡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（可以附件表格形式提供）。提供合作协议等相关证明材料。</w:t>
      </w:r>
    </w:p>
    <w:p>
      <w:pPr>
        <w:snapToGrid w:val="0"/>
        <w:spacing w:line="560" w:lineRule="exact"/>
        <w:contextualSpacing/>
        <w:rPr>
          <w:rFonts w:ascii="仿宋_GB2312" w:hAns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「</w:t>
      </w:r>
      <w:r>
        <w:rPr>
          <w:rFonts w:ascii="仿宋_GB2312" w:hAnsi="仿宋_GB2312" w:eastAsia="仿宋_GB2312"/>
          <w:color w:val="000000" w:themeColor="text1"/>
          <w:sz w:val="28"/>
          <w:szCs w:val="28"/>
        </w:rPr>
        <w:t>2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」</w:t>
      </w:r>
      <w:r>
        <w:rPr>
          <w:rFonts w:hint="eastAsia" w:ascii="仿宋_GB2312" w:hAnsi="仿宋_GB2312" w:eastAsia="仿宋_GB2312"/>
          <w:sz w:val="28"/>
          <w:szCs w:val="28"/>
        </w:rPr>
        <w:t>入驻线上渠道：入驻线上渠道（京东、淘宝、小米、拼多多、苏宁、国美、得物、抖音、快手等）的官方旗舰店。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提供相关证明材料。</w:t>
      </w:r>
    </w:p>
    <w:p>
      <w:pPr>
        <w:snapToGrid w:val="0"/>
        <w:spacing w:line="560" w:lineRule="exact"/>
        <w:contextualSpacing/>
        <w:rPr>
          <w:rFonts w:ascii="仿宋_GB2312" w:hAns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「</w:t>
      </w:r>
      <w:r>
        <w:rPr>
          <w:rFonts w:ascii="仿宋_GB2312" w:hAnsi="仿宋_GB2312" w:eastAsia="仿宋_GB2312"/>
          <w:color w:val="000000" w:themeColor="text1"/>
          <w:sz w:val="28"/>
          <w:szCs w:val="28"/>
        </w:rPr>
        <w:t>3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」线上宣传渠道：官方媒体、网站、自媒体、社交媒体、搜索平台、视频网站、电商平台、短视频平台、游戏等。提供相关证明材料。</w:t>
      </w:r>
    </w:p>
    <w:p>
      <w:pPr>
        <w:snapToGrid w:val="0"/>
        <w:spacing w:line="560" w:lineRule="exact"/>
        <w:contextualSpacing/>
        <w:rPr>
          <w:rFonts w:ascii="仿宋_GB2312" w:hAns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「</w:t>
      </w:r>
      <w:r>
        <w:rPr>
          <w:rFonts w:ascii="仿宋_GB2312" w:hAnsi="仿宋_GB2312" w:eastAsia="仿宋_GB2312"/>
          <w:color w:val="000000" w:themeColor="text1"/>
          <w:sz w:val="28"/>
          <w:szCs w:val="28"/>
        </w:rPr>
        <w:t>4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」线下宣传渠道：户外大屏、墙面广告、电梯、高铁、地铁、公交、出租车、高速等。提供相关证明材料。</w:t>
      </w:r>
    </w:p>
    <w:p>
      <w:pPr>
        <w:snapToGrid w:val="0"/>
        <w:spacing w:line="560" w:lineRule="exact"/>
        <w:contextualSpacing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「</w:t>
      </w:r>
      <w:r>
        <w:rPr>
          <w:rFonts w:ascii="仿宋_GB2312" w:hAnsi="仿宋_GB2312" w:eastAsia="仿宋_GB2312"/>
          <w:color w:val="000000" w:themeColor="text1"/>
          <w:sz w:val="28"/>
          <w:szCs w:val="28"/>
        </w:rPr>
        <w:t>5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」</w:t>
      </w:r>
      <w:r>
        <w:rPr>
          <w:rFonts w:hint="eastAsia" w:ascii="仿宋_GB2312" w:hAnsi="仿宋_GB2312" w:eastAsia="仿宋_GB2312"/>
          <w:sz w:val="28"/>
          <w:szCs w:val="28"/>
        </w:rPr>
        <w:t>近三年营业收入复合增长率=</w:t>
      </w:r>
      <w:r>
        <w:rPr>
          <w:rFonts w:ascii="仿宋_GB2312" w:hAnsi="仿宋_GB2312" w:eastAsia="仿宋_GB2312"/>
          <w:sz w:val="28"/>
          <w:szCs w:val="28"/>
        </w:rPr>
        <w:t>{</w:t>
      </w:r>
      <m:oMath>
        <m:rad>
          <m:radPr>
            <m:ctrlPr>
              <w:rPr>
                <w:rFonts w:hint="eastAsia" w:ascii="Cambria Math" w:hAnsi="Cambria Math" w:eastAsia="仿宋_GB2312"/>
                <w:i/>
                <w:sz w:val="28"/>
                <w:szCs w:val="28"/>
              </w:rPr>
            </m:ctrlPr>
          </m:radPr>
          <m:deg>
            <m:r>
              <m:rPr/>
              <w:rPr>
                <w:rFonts w:ascii="Cambria Math" w:hAnsi="Cambria Math" w:eastAsia="仿宋_GB2312"/>
                <w:sz w:val="28"/>
                <w:szCs w:val="28"/>
              </w:rPr>
              <m:t>3</m:t>
            </m:r>
            <m:ctrlPr>
              <w:rPr>
                <w:rFonts w:ascii="Cambria Math" w:hAnsi="Cambria Math" w:eastAsia="仿宋_GB2312"/>
                <w:i/>
                <w:sz w:val="28"/>
                <w:szCs w:val="28"/>
              </w:rPr>
            </m:ctrlPr>
          </m:deg>
          <m:e>
            <m:r>
              <m:rPr/>
              <w:rPr>
                <w:rFonts w:hint="eastAsia" w:ascii="Cambria Math" w:hAnsi="Cambria Math" w:eastAsia="仿宋_GB2312"/>
                <w:sz w:val="28"/>
                <w:szCs w:val="28"/>
              </w:rPr>
              <m:t>（</m:t>
            </m:r>
            <m:f>
              <m:fPr>
                <m:ctrlPr>
                  <w:rPr>
                    <w:rFonts w:ascii="Cambria Math" w:hAnsi="Cambria Math" w:eastAsia="仿宋_GB2312"/>
                    <w:i/>
                    <w:sz w:val="28"/>
                    <w:szCs w:val="28"/>
                  </w:rPr>
                </m:ctrlPr>
              </m:fPr>
              <m:num>
                <m:r>
                  <m:rPr/>
                  <w:rPr>
                    <w:rFonts w:ascii="Cambria Math" w:hAnsi="Cambria Math" w:eastAsia="仿宋_GB2312"/>
                    <w:sz w:val="28"/>
                    <w:szCs w:val="28"/>
                  </w:rPr>
                  <m:t>2021</m:t>
                </m:r>
                <m:r>
                  <m:rPr/>
                  <w:rPr>
                    <w:rFonts w:hint="eastAsia" w:ascii="Cambria Math" w:hAnsi="Cambria Math" w:eastAsia="仿宋_GB2312"/>
                    <w:sz w:val="28"/>
                    <w:szCs w:val="28"/>
                  </w:rPr>
                  <m:t>年营业收入</m:t>
                </m:r>
                <m:ctrlPr>
                  <w:rPr>
                    <w:rFonts w:ascii="Cambria Math" w:hAnsi="Cambria Math" w:eastAsia="仿宋_GB2312"/>
                    <w:i/>
                    <w:sz w:val="28"/>
                    <w:szCs w:val="28"/>
                  </w:rPr>
                </m:ctrlPr>
              </m:num>
              <m:den>
                <m:r>
                  <m:rPr/>
                  <w:rPr>
                    <w:rFonts w:ascii="Cambria Math" w:hAnsi="Cambria Math" w:eastAsia="仿宋_GB2312"/>
                    <w:sz w:val="28"/>
                    <w:szCs w:val="28"/>
                  </w:rPr>
                  <m:t>2019</m:t>
                </m:r>
                <m:r>
                  <m:rPr/>
                  <w:rPr>
                    <w:rFonts w:hint="eastAsia" w:ascii="Cambria Math" w:hAnsi="Cambria Math" w:eastAsia="仿宋_GB2312"/>
                    <w:sz w:val="28"/>
                    <w:szCs w:val="28"/>
                  </w:rPr>
                  <m:t>年营业收入</m:t>
                </m:r>
                <m:ctrlPr>
                  <w:rPr>
                    <w:rFonts w:ascii="Cambria Math" w:hAnsi="Cambria Math" w:eastAsia="仿宋_GB2312"/>
                    <w:i/>
                    <w:sz w:val="28"/>
                    <w:szCs w:val="28"/>
                  </w:rPr>
                </m:ctrlPr>
              </m:den>
            </m:f>
            <m:r>
              <m:rPr/>
              <w:rPr>
                <w:rFonts w:hint="eastAsia" w:ascii="Cambria Math" w:hAnsi="Cambria Math" w:eastAsia="仿宋_GB2312"/>
                <w:sz w:val="28"/>
                <w:szCs w:val="28"/>
              </w:rPr>
              <m:t>）</m:t>
            </m:r>
            <m:ctrlPr>
              <w:rPr>
                <w:rFonts w:ascii="Cambria Math" w:hAnsi="Cambria Math" w:eastAsia="仿宋_GB2312"/>
                <w:i/>
                <w:sz w:val="28"/>
                <w:szCs w:val="28"/>
              </w:rPr>
            </m:ctrlPr>
          </m:e>
        </m:rad>
      </m:oMath>
      <w:r>
        <w:rPr>
          <w:rFonts w:hint="eastAsia" w:ascii="仿宋_GB2312" w:hAnsi="仿宋_GB2312" w:eastAsia="仿宋_GB2312"/>
          <w:sz w:val="28"/>
          <w:szCs w:val="28"/>
        </w:rPr>
        <w:t>-</w:t>
      </w:r>
      <w:r>
        <w:rPr>
          <w:rFonts w:ascii="仿宋_GB2312" w:hAnsi="仿宋_GB2312" w:eastAsia="仿宋_GB2312"/>
          <w:sz w:val="28"/>
          <w:szCs w:val="28"/>
        </w:rPr>
        <w:t>1}*100%</w:t>
      </w:r>
      <w:r>
        <w:rPr>
          <w:rFonts w:hint="eastAsia" w:ascii="仿宋_GB2312" w:hAnsi="仿宋_GB2312" w:eastAsia="仿宋_GB2312"/>
          <w:sz w:val="28"/>
          <w:szCs w:val="28"/>
        </w:rPr>
        <w:t>。</w:t>
      </w:r>
    </w:p>
    <w:p>
      <w:pPr>
        <w:rPr>
          <w:rFonts w:ascii="仿宋_GB2312" w:hAnsi="仿宋_GB2312" w:eastAsia="仿宋_GB2312"/>
        </w:rPr>
      </w:pPr>
    </w:p>
    <w:sectPr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104BFD-D134-40C5-A43F-8EBA1DC608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8BFA045-FD07-4CE4-B750-F8CA10D136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2125E9A-2331-4335-B99A-6B5A936D45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EFD49DD-94CB-4D31-B672-2E7CD774675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69DD8E6-63EA-4D16-A020-51CFC7848BF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65245411-6573-4512-AF2F-230BC23B1151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06A9536A-BA00-4073-A5C8-8F8961EFC8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zYmVmMjI1MmU0NDA5MWVkYTJkN2NiNzM1NjE0NmEifQ=="/>
  </w:docVars>
  <w:rsids>
    <w:rsidRoot w:val="00732412"/>
    <w:rsid w:val="00001803"/>
    <w:rsid w:val="00040ADA"/>
    <w:rsid w:val="00065694"/>
    <w:rsid w:val="0007044E"/>
    <w:rsid w:val="0008133E"/>
    <w:rsid w:val="00083790"/>
    <w:rsid w:val="000A64DA"/>
    <w:rsid w:val="000C29D5"/>
    <w:rsid w:val="000D3C69"/>
    <w:rsid w:val="000D7368"/>
    <w:rsid w:val="0015000F"/>
    <w:rsid w:val="001656FB"/>
    <w:rsid w:val="00183F84"/>
    <w:rsid w:val="001A7624"/>
    <w:rsid w:val="001C4E9A"/>
    <w:rsid w:val="001E2A94"/>
    <w:rsid w:val="002007BD"/>
    <w:rsid w:val="00206494"/>
    <w:rsid w:val="002224CB"/>
    <w:rsid w:val="00235BA0"/>
    <w:rsid w:val="00241FCB"/>
    <w:rsid w:val="00251DF6"/>
    <w:rsid w:val="002C3E60"/>
    <w:rsid w:val="002C6EDC"/>
    <w:rsid w:val="002E6B9D"/>
    <w:rsid w:val="002F23E0"/>
    <w:rsid w:val="00325DB1"/>
    <w:rsid w:val="00327D3C"/>
    <w:rsid w:val="00331F30"/>
    <w:rsid w:val="0034799F"/>
    <w:rsid w:val="00362C53"/>
    <w:rsid w:val="00365F04"/>
    <w:rsid w:val="003705FF"/>
    <w:rsid w:val="00375314"/>
    <w:rsid w:val="003949B8"/>
    <w:rsid w:val="003B4CCB"/>
    <w:rsid w:val="003D0AD6"/>
    <w:rsid w:val="003D779F"/>
    <w:rsid w:val="003E1CFF"/>
    <w:rsid w:val="004016BA"/>
    <w:rsid w:val="004116EE"/>
    <w:rsid w:val="004266AB"/>
    <w:rsid w:val="00447634"/>
    <w:rsid w:val="004566A1"/>
    <w:rsid w:val="00485641"/>
    <w:rsid w:val="004B682A"/>
    <w:rsid w:val="004C221A"/>
    <w:rsid w:val="004C2F64"/>
    <w:rsid w:val="004C4121"/>
    <w:rsid w:val="004D6E5D"/>
    <w:rsid w:val="004D79AE"/>
    <w:rsid w:val="004E1C5A"/>
    <w:rsid w:val="004F08E9"/>
    <w:rsid w:val="004F1B77"/>
    <w:rsid w:val="00515ABE"/>
    <w:rsid w:val="005244E5"/>
    <w:rsid w:val="0054309C"/>
    <w:rsid w:val="0055687E"/>
    <w:rsid w:val="00572E9E"/>
    <w:rsid w:val="0058413C"/>
    <w:rsid w:val="005925BE"/>
    <w:rsid w:val="005B40E8"/>
    <w:rsid w:val="00607312"/>
    <w:rsid w:val="0061110F"/>
    <w:rsid w:val="00626CA8"/>
    <w:rsid w:val="00627953"/>
    <w:rsid w:val="006351FE"/>
    <w:rsid w:val="00637B32"/>
    <w:rsid w:val="00642B5D"/>
    <w:rsid w:val="0067677F"/>
    <w:rsid w:val="00690346"/>
    <w:rsid w:val="006C1AA9"/>
    <w:rsid w:val="006C69AB"/>
    <w:rsid w:val="006E368D"/>
    <w:rsid w:val="006F61E4"/>
    <w:rsid w:val="00730110"/>
    <w:rsid w:val="00732395"/>
    <w:rsid w:val="00732412"/>
    <w:rsid w:val="00754BE2"/>
    <w:rsid w:val="007655D9"/>
    <w:rsid w:val="0077693C"/>
    <w:rsid w:val="00783529"/>
    <w:rsid w:val="00792062"/>
    <w:rsid w:val="007B7B26"/>
    <w:rsid w:val="007C6CEB"/>
    <w:rsid w:val="007F2BB2"/>
    <w:rsid w:val="007F4AAC"/>
    <w:rsid w:val="0084184D"/>
    <w:rsid w:val="00842DF6"/>
    <w:rsid w:val="0085358D"/>
    <w:rsid w:val="00887B99"/>
    <w:rsid w:val="0089385C"/>
    <w:rsid w:val="008A0E64"/>
    <w:rsid w:val="008A3585"/>
    <w:rsid w:val="008B089F"/>
    <w:rsid w:val="008C00F7"/>
    <w:rsid w:val="008D2046"/>
    <w:rsid w:val="008D5995"/>
    <w:rsid w:val="008F2CA1"/>
    <w:rsid w:val="00904712"/>
    <w:rsid w:val="0090723A"/>
    <w:rsid w:val="00927031"/>
    <w:rsid w:val="00935EA1"/>
    <w:rsid w:val="00944525"/>
    <w:rsid w:val="00963877"/>
    <w:rsid w:val="00966003"/>
    <w:rsid w:val="009910FF"/>
    <w:rsid w:val="00991527"/>
    <w:rsid w:val="009A4839"/>
    <w:rsid w:val="009B4D7A"/>
    <w:rsid w:val="009D0A31"/>
    <w:rsid w:val="009D65EB"/>
    <w:rsid w:val="009F4AAC"/>
    <w:rsid w:val="00A125A4"/>
    <w:rsid w:val="00A148CF"/>
    <w:rsid w:val="00A32F59"/>
    <w:rsid w:val="00A71151"/>
    <w:rsid w:val="00A744EB"/>
    <w:rsid w:val="00A84FFB"/>
    <w:rsid w:val="00AA0011"/>
    <w:rsid w:val="00AB2866"/>
    <w:rsid w:val="00AD6F78"/>
    <w:rsid w:val="00AE2E4B"/>
    <w:rsid w:val="00AF018E"/>
    <w:rsid w:val="00B06B82"/>
    <w:rsid w:val="00B07254"/>
    <w:rsid w:val="00B32EF2"/>
    <w:rsid w:val="00B33520"/>
    <w:rsid w:val="00B41702"/>
    <w:rsid w:val="00B579C4"/>
    <w:rsid w:val="00B665E6"/>
    <w:rsid w:val="00B7407C"/>
    <w:rsid w:val="00B9003D"/>
    <w:rsid w:val="00BA194D"/>
    <w:rsid w:val="00BB1438"/>
    <w:rsid w:val="00BD2EDC"/>
    <w:rsid w:val="00BE113D"/>
    <w:rsid w:val="00C012C3"/>
    <w:rsid w:val="00C4445B"/>
    <w:rsid w:val="00C673F2"/>
    <w:rsid w:val="00C9219E"/>
    <w:rsid w:val="00CC44C2"/>
    <w:rsid w:val="00CD20E8"/>
    <w:rsid w:val="00CE40F4"/>
    <w:rsid w:val="00CF05B7"/>
    <w:rsid w:val="00D14ABE"/>
    <w:rsid w:val="00D47B79"/>
    <w:rsid w:val="00D60A92"/>
    <w:rsid w:val="00D67ADC"/>
    <w:rsid w:val="00D8005C"/>
    <w:rsid w:val="00D8319E"/>
    <w:rsid w:val="00D836CB"/>
    <w:rsid w:val="00DD6B4E"/>
    <w:rsid w:val="00E022CC"/>
    <w:rsid w:val="00E051A8"/>
    <w:rsid w:val="00E12D06"/>
    <w:rsid w:val="00E20AB4"/>
    <w:rsid w:val="00E309AE"/>
    <w:rsid w:val="00E45827"/>
    <w:rsid w:val="00E664A3"/>
    <w:rsid w:val="00E8197C"/>
    <w:rsid w:val="00E9103C"/>
    <w:rsid w:val="00EC00BE"/>
    <w:rsid w:val="00EC20E2"/>
    <w:rsid w:val="00EC222E"/>
    <w:rsid w:val="00EC2D28"/>
    <w:rsid w:val="00EF15C3"/>
    <w:rsid w:val="00EF3345"/>
    <w:rsid w:val="00F07DA9"/>
    <w:rsid w:val="00F1008F"/>
    <w:rsid w:val="00F254C9"/>
    <w:rsid w:val="00F462EF"/>
    <w:rsid w:val="00F56196"/>
    <w:rsid w:val="00F752C6"/>
    <w:rsid w:val="00F86EAC"/>
    <w:rsid w:val="00FB5A1B"/>
    <w:rsid w:val="00FC2401"/>
    <w:rsid w:val="00FE69A3"/>
    <w:rsid w:val="00FF7439"/>
    <w:rsid w:val="01805A66"/>
    <w:rsid w:val="09AD054F"/>
    <w:rsid w:val="0DA9393B"/>
    <w:rsid w:val="15A425EB"/>
    <w:rsid w:val="1AB01AA7"/>
    <w:rsid w:val="20983EB6"/>
    <w:rsid w:val="21FE759C"/>
    <w:rsid w:val="24802341"/>
    <w:rsid w:val="24A62323"/>
    <w:rsid w:val="277DCA07"/>
    <w:rsid w:val="2B62247A"/>
    <w:rsid w:val="304544B6"/>
    <w:rsid w:val="323C5BD8"/>
    <w:rsid w:val="334C7547"/>
    <w:rsid w:val="346C229D"/>
    <w:rsid w:val="368E303C"/>
    <w:rsid w:val="39B94D2C"/>
    <w:rsid w:val="3BDFB208"/>
    <w:rsid w:val="3D3E60F8"/>
    <w:rsid w:val="3DDE1FFA"/>
    <w:rsid w:val="3DE81187"/>
    <w:rsid w:val="440026D2"/>
    <w:rsid w:val="45F27476"/>
    <w:rsid w:val="538A0EA9"/>
    <w:rsid w:val="5C8606AB"/>
    <w:rsid w:val="5CFF5720"/>
    <w:rsid w:val="5EEE1BF0"/>
    <w:rsid w:val="5FFF07BA"/>
    <w:rsid w:val="61E11F70"/>
    <w:rsid w:val="62081505"/>
    <w:rsid w:val="62283183"/>
    <w:rsid w:val="65EC4285"/>
    <w:rsid w:val="66C05A48"/>
    <w:rsid w:val="69A65F01"/>
    <w:rsid w:val="6AC32F0B"/>
    <w:rsid w:val="6AC61E36"/>
    <w:rsid w:val="6BA240C1"/>
    <w:rsid w:val="6CE26D38"/>
    <w:rsid w:val="6E1550DB"/>
    <w:rsid w:val="718B0A6C"/>
    <w:rsid w:val="737F7941"/>
    <w:rsid w:val="73BFE5BD"/>
    <w:rsid w:val="75E7FAD0"/>
    <w:rsid w:val="773F44D0"/>
    <w:rsid w:val="77494CC0"/>
    <w:rsid w:val="79DE2836"/>
    <w:rsid w:val="7F9EA240"/>
    <w:rsid w:val="94FE81D6"/>
    <w:rsid w:val="97BF6008"/>
    <w:rsid w:val="CDADDEAD"/>
    <w:rsid w:val="DD679EFF"/>
    <w:rsid w:val="DFF47742"/>
    <w:rsid w:val="E9F933C1"/>
    <w:rsid w:val="EBEB3D55"/>
    <w:rsid w:val="EF7F7B8D"/>
    <w:rsid w:val="F4D423A7"/>
    <w:rsid w:val="F7B3D6E5"/>
    <w:rsid w:val="FB2E4E41"/>
    <w:rsid w:val="FDF77CCE"/>
    <w:rsid w:val="FFBE5E42"/>
    <w:rsid w:val="FFFE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仿宋_GB2312"/>
      <w:sz w:val="32"/>
      <w:szCs w:val="32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16">
    <w:name w:val="Placeholder Text"/>
    <w:basedOn w:val="9"/>
    <w:semiHidden/>
    <w:qFormat/>
    <w:uiPriority w:val="99"/>
    <w:rPr>
      <w:color w:val="808080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3647</Words>
  <Characters>3744</Characters>
  <Lines>31</Lines>
  <Paragraphs>8</Paragraphs>
  <TotalTime>36</TotalTime>
  <ScaleCrop>false</ScaleCrop>
  <LinksUpToDate>false</LinksUpToDate>
  <CharactersWithSpaces>3862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2022-07-08T22:01:00Z</dcterms:created>
  <dc:creator>Administrator</dc:creator>
  <cp:lastModifiedBy>阿营</cp:lastModifiedBy>
  <dcterms:modified xsi:type="dcterms:W3CDTF">2022-08-02T01:31:12Z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2B09F534D6334472AD7D916D3D86A611</vt:lpwstr>
  </property>
</Properties>
</file>