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left"/>
        <w:rPr>
          <w:rFonts w:ascii="黑体" w:eastAsia="黑体" w:cs="仿宋"/>
          <w:kern w:val="0"/>
          <w:sz w:val="32"/>
          <w:szCs w:val="32"/>
        </w:rPr>
      </w:pPr>
      <w:r>
        <w:rPr>
          <w:rFonts w:ascii="黑体" w:eastAsia="黑体" w:cs="仿宋" w:hint="eastAsia"/>
          <w:kern w:val="0"/>
          <w:sz w:val="32"/>
          <w:szCs w:val="32"/>
        </w:rPr>
        <w:t>附件</w:t>
      </w:r>
    </w:p>
    <w:p>
      <w:pPr>
        <w:jc w:val="left"/>
        <w:rPr>
          <w:rFonts w:ascii="黑体" w:eastAsia="黑体" w:cs="仿宋" w:hint="eastAsia"/>
          <w:kern w:val="0"/>
          <w:sz w:val="32"/>
          <w:szCs w:val="32"/>
        </w:rPr>
      </w:pPr>
    </w:p>
    <w:p>
      <w:pPr>
        <w:ind w:firstLineChars="200" w:firstLine="800"/>
        <w:jc w:val="center"/>
        <w:rPr>
          <w:rFonts w:ascii="华文中宋" w:eastAsia="华文中宋" w:cs="仿宋" w:hint="eastAsia"/>
          <w:sz w:val="40"/>
          <w:szCs w:val="40"/>
        </w:rPr>
      </w:pPr>
      <w:r>
        <w:rPr>
          <w:rFonts w:ascii="华文中宋" w:eastAsia="华文中宋" w:cs="仿宋" w:hint="eastAsia"/>
          <w:kern w:val="0"/>
          <w:sz w:val="40"/>
          <w:szCs w:val="40"/>
        </w:rPr>
        <w:t>填报重点注意事项</w:t>
      </w:r>
    </w:p>
    <w:p>
      <w:pPr>
        <w:widowControl/>
        <w:autoSpaceDN w:val="0"/>
        <w:spacing w:line="600" w:lineRule="exact"/>
        <w:ind w:firstLineChars="200" w:firstLine="640"/>
        <w:rPr>
          <w:rFonts w:ascii="仿宋_GB2312" w:eastAsia="仿宋_GB2312" w:cs="仿宋" w:hint="eastAsia"/>
          <w:b/>
          <w:bCs/>
          <w:kern w:val="0"/>
          <w:sz w:val="32"/>
          <w:szCs w:val="32"/>
        </w:rPr>
      </w:pPr>
    </w:p>
    <w:p>
      <w:pPr>
        <w:widowControl/>
        <w:autoSpaceDN w:val="0"/>
        <w:spacing w:line="600" w:lineRule="exact"/>
        <w:ind w:firstLineChars="200" w:firstLine="640"/>
        <w:rPr>
          <w:rFonts w:ascii="黑体" w:eastAsia="黑体" w:cs="仿宋" w:hint="eastAsia"/>
          <w:kern w:val="0"/>
          <w:sz w:val="32"/>
          <w:szCs w:val="32"/>
          <w:highlight w:val="yellow"/>
        </w:rPr>
      </w:pPr>
      <w:r>
        <w:rPr>
          <w:rFonts w:ascii="黑体" w:eastAsia="黑体" w:cs="仿宋" w:hint="eastAsia"/>
          <w:kern w:val="0"/>
          <w:sz w:val="32"/>
          <w:szCs w:val="32"/>
        </w:rPr>
        <w:t>一、填报路径</w:t>
      </w:r>
    </w:p>
    <w:p>
      <w:pPr>
        <w:spacing w:line="600" w:lineRule="exact"/>
        <w:ind w:firstLineChars="200" w:firstLine="640"/>
        <w:rPr>
          <w:rFonts w:ascii="仿宋_GB2312" w:eastAsia="仿宋_GB2312" w:cs="仿宋" w:hint="eastAsia"/>
          <w:kern w:val="0"/>
          <w:sz w:val="32"/>
          <w:szCs w:val="32"/>
        </w:rPr>
      </w:pPr>
      <w:r>
        <w:rPr>
          <w:rFonts w:ascii="仿宋_GB2312" w:eastAsia="仿宋_GB2312" w:cs="仿宋" w:hint="eastAsia"/>
          <w:kern w:val="0"/>
          <w:sz w:val="32"/>
          <w:szCs w:val="32"/>
        </w:rPr>
        <w:t>登录“福建省网上办事大厅”（</w:t>
      </w:r>
      <w:r>
        <w:rPr>
          <w:rFonts w:ascii="仿宋_GB2312" w:eastAsia="仿宋_GB2312" w:cs="仿宋" w:hint="eastAsia"/>
          <w:kern w:val="0"/>
          <w:sz w:val="32"/>
          <w:szCs w:val="32"/>
        </w:rPr>
        <w:fldChar w:fldCharType="begin"/>
      </w:r>
      <w:r>
        <w:instrText>HYPERLINK "http://zwfw.fujian.gov.cn/"</w:instrText>
      </w:r>
      <w:r>
        <w:rPr>
          <w:rFonts w:ascii="仿宋_GB2312" w:eastAsia="仿宋_GB2312" w:cs="仿宋" w:hint="eastAsia"/>
          <w:kern w:val="0"/>
          <w:sz w:val="32"/>
          <w:szCs w:val="32"/>
        </w:rPr>
        <w:fldChar w:fldCharType="separate"/>
      </w:r>
      <w:r>
        <w:rPr>
          <w:rFonts w:ascii="仿宋_GB2312" w:eastAsia="仿宋_GB2312" w:cs="仿宋" w:hint="eastAsia"/>
          <w:kern w:val="0"/>
          <w:sz w:val="32"/>
          <w:szCs w:val="32"/>
        </w:rPr>
        <w:t>http://zwfw.fujian.gov.cn/</w:t>
      </w:r>
      <w:r>
        <w:rPr>
          <w:rFonts w:ascii="仿宋_GB2312" w:eastAsia="仿宋_GB2312" w:cs="仿宋" w:hint="eastAsia"/>
          <w:kern w:val="0"/>
          <w:sz w:val="32"/>
          <w:szCs w:val="32"/>
        </w:rPr>
        <w:fldChar w:fldCharType="end"/>
      </w:r>
      <w:r>
        <w:rPr>
          <w:rFonts w:ascii="仿宋_GB2312" w:eastAsia="仿宋_GB2312" w:cs="仿宋" w:hint="eastAsia"/>
          <w:kern w:val="0"/>
          <w:sz w:val="32"/>
          <w:szCs w:val="32"/>
        </w:rPr>
        <w:t>）—定位“厦门市”—“部门服务”—“厦门市科技局”—“企业研发费用补助”—“在线办理”—“访问第三方网站”</w:t>
      </w:r>
    </w:p>
    <w:p>
      <w:pPr>
        <w:spacing w:line="600" w:lineRule="exact"/>
        <w:ind w:firstLineChars="200" w:firstLine="640"/>
        <w:rPr>
          <w:rFonts w:ascii="黑体" w:eastAsia="黑体" w:cs="仿宋" w:hint="eastAsia"/>
          <w:sz w:val="32"/>
          <w:szCs w:val="32"/>
        </w:rPr>
      </w:pPr>
      <w:r>
        <w:rPr>
          <w:rFonts w:ascii="黑体" w:eastAsia="黑体" w:cs="仿宋" w:hint="eastAsia"/>
          <w:sz w:val="32"/>
          <w:szCs w:val="32"/>
        </w:rPr>
        <w:t>二、填报注意事项</w:t>
      </w:r>
    </w:p>
    <w:p>
      <w:pPr>
        <w:spacing w:line="600" w:lineRule="exact"/>
        <w:ind w:firstLineChars="200" w:firstLine="640"/>
        <w:rPr>
          <w:rFonts w:ascii="仿宋_GB2312" w:eastAsia="仿宋_GB2312" w:cs="仿宋" w:hint="eastAsia"/>
          <w:sz w:val="32"/>
          <w:szCs w:val="32"/>
        </w:rPr>
      </w:pPr>
      <w:r>
        <w:rPr>
          <w:rFonts w:ascii="仿宋_GB2312" w:eastAsia="仿宋_GB2312" w:cs="仿宋" w:hint="eastAsia"/>
          <w:b/>
          <w:bCs/>
          <w:sz w:val="32"/>
          <w:szCs w:val="32"/>
        </w:rPr>
        <w:t>1.按期填报：</w:t>
      </w:r>
      <w:r>
        <w:rPr>
          <w:rFonts w:ascii="仿宋_GB2312" w:eastAsia="仿宋_GB2312" w:cs="仿宋" w:hint="eastAsia"/>
          <w:sz w:val="32"/>
          <w:szCs w:val="32"/>
        </w:rPr>
        <w:t>请企业务必注意填报截止时间（</w:t>
      </w:r>
      <w:r>
        <w:rPr>
          <w:rFonts w:ascii="仿宋_GB2312" w:eastAsia="仿宋_GB2312" w:cs="仿宋" w:hint="eastAsia"/>
          <w:kern w:val="0"/>
          <w:sz w:val="32"/>
          <w:szCs w:val="32"/>
        </w:rPr>
        <w:t>2020年6月3日18:00系统自动关闭）</w:t>
      </w:r>
      <w:r>
        <w:rPr>
          <w:rFonts w:ascii="仿宋_GB2312" w:eastAsia="仿宋_GB2312" w:cs="仿宋" w:hint="eastAsia"/>
          <w:sz w:val="32"/>
          <w:szCs w:val="32"/>
        </w:rPr>
        <w:t>，按期完成填报工作，逾期未报将无法享受当年研发费用补助。</w:t>
      </w:r>
    </w:p>
    <w:p>
      <w:pPr>
        <w:spacing w:line="600" w:lineRule="exact"/>
        <w:ind w:firstLineChars="200" w:firstLine="640"/>
        <w:rPr>
          <w:rFonts w:ascii="仿宋_GB2312" w:eastAsia="仿宋_GB2312" w:cs="仿宋" w:hint="eastAsia"/>
          <w:b/>
          <w:bCs/>
          <w:sz w:val="32"/>
          <w:szCs w:val="32"/>
        </w:rPr>
      </w:pPr>
      <w:r>
        <w:rPr>
          <w:rFonts w:ascii="仿宋_GB2312" w:eastAsia="仿宋_GB2312" w:cs="仿宋" w:hint="eastAsia"/>
          <w:b/>
          <w:bCs/>
          <w:sz w:val="32"/>
          <w:szCs w:val="32"/>
        </w:rPr>
        <w:t>特别提醒：</w:t>
      </w:r>
    </w:p>
    <w:p>
      <w:pPr>
        <w:spacing w:line="600" w:lineRule="exact"/>
        <w:ind w:firstLineChars="200" w:firstLine="640"/>
        <w:rPr>
          <w:rFonts w:ascii="仿宋_GB2312" w:eastAsia="仿宋_GB2312" w:cs="仿宋" w:hint="eastAsia"/>
          <w:sz w:val="32"/>
          <w:szCs w:val="32"/>
        </w:rPr>
      </w:pPr>
      <w:r>
        <w:rPr>
          <w:rFonts w:ascii="仿宋_GB2312" w:eastAsia="仿宋_GB2312" w:cs="仿宋" w:hint="eastAsia"/>
          <w:sz w:val="32"/>
          <w:szCs w:val="32"/>
        </w:rPr>
        <w:t>（1）已获得2020年第一、二批研发费用补助（提前拨付）的企业，应在截止日前完成填报，逾期未报将无法享受当年研发费用补助，且提前拨付资金须退回。</w:t>
      </w:r>
    </w:p>
    <w:p>
      <w:pPr>
        <w:widowControl/>
        <w:autoSpaceDN w:val="0"/>
        <w:spacing w:line="600" w:lineRule="exact"/>
        <w:ind w:firstLineChars="200" w:firstLine="640"/>
        <w:rPr>
          <w:rFonts w:ascii="仿宋_GB2312" w:eastAsia="仿宋_GB2312" w:cs="仿宋" w:hint="eastAsia"/>
          <w:kern w:val="0"/>
          <w:sz w:val="32"/>
          <w:szCs w:val="32"/>
        </w:rPr>
      </w:pPr>
      <w:r>
        <w:rPr>
          <w:rFonts w:ascii="仿宋_GB2312" w:eastAsia="仿宋_GB2312" w:cs="仿宋" w:hint="eastAsia"/>
          <w:kern w:val="0"/>
          <w:sz w:val="32"/>
          <w:szCs w:val="32"/>
        </w:rPr>
        <w:t>（2）填报材料经审核需修改完善的，系统退回并发送短信至联系人手机，企业应于2个工作日内按要求补充再次提交，逾期未提交视为企业自动放弃填报，企业填报入口将自动关闭。</w:t>
      </w:r>
    </w:p>
    <w:p>
      <w:pPr>
        <w:spacing w:line="600" w:lineRule="exact"/>
        <w:ind w:firstLineChars="200" w:firstLine="640"/>
        <w:rPr>
          <w:rFonts w:ascii="仿宋_GB2312" w:eastAsia="仿宋_GB2312" w:cs="仿宋" w:hint="eastAsia"/>
          <w:sz w:val="32"/>
          <w:szCs w:val="32"/>
        </w:rPr>
      </w:pPr>
      <w:r>
        <w:rPr>
          <w:rFonts w:ascii="仿宋_GB2312" w:eastAsia="仿宋_GB2312" w:cs="仿宋" w:hint="eastAsia"/>
          <w:b/>
          <w:bCs/>
          <w:sz w:val="32"/>
          <w:szCs w:val="32"/>
        </w:rPr>
        <w:t>2.准确填报：</w:t>
      </w:r>
      <w:r>
        <w:rPr>
          <w:rFonts w:ascii="仿宋_GB2312" w:eastAsia="仿宋_GB2312" w:cs="仿宋" w:hint="eastAsia"/>
          <w:sz w:val="32"/>
          <w:szCs w:val="32"/>
        </w:rPr>
        <w:t>请企业提交前务必确认所有数据及信息无误，审核通过后企业不能再修改。如企业名称、联系人、联系方式、开户行、账号等信息发生变更的，应在10个工作日内向市科技局书面报备并由管理员在系统上及时变更。企业自行承担因填报信息错误或变更后未及时报备而导致其无法获得补助的责任。</w:t>
      </w:r>
    </w:p>
    <w:p>
      <w:pPr>
        <w:spacing w:line="600" w:lineRule="exact"/>
        <w:ind w:firstLineChars="200" w:firstLine="640"/>
        <w:rPr>
          <w:rFonts w:ascii="黑体" w:eastAsia="黑体" w:cs="仿宋" w:hint="eastAsia"/>
          <w:kern w:val="0"/>
          <w:sz w:val="32"/>
          <w:szCs w:val="32"/>
        </w:rPr>
      </w:pPr>
      <w:r>
        <w:rPr>
          <w:rFonts w:ascii="黑体" w:eastAsia="黑体" w:cs="仿宋" w:hint="eastAsia"/>
          <w:sz w:val="32"/>
          <w:szCs w:val="32"/>
        </w:rPr>
        <w:t>三、</w:t>
      </w:r>
      <w:r>
        <w:rPr>
          <w:rFonts w:ascii="黑体" w:eastAsia="黑体" w:cs="仿宋" w:hint="eastAsia"/>
          <w:kern w:val="0"/>
          <w:sz w:val="32"/>
          <w:szCs w:val="32"/>
        </w:rPr>
        <w:t>研发费用调整处理</w:t>
      </w:r>
    </w:p>
    <w:p>
      <w:pPr>
        <w:spacing w:line="600" w:lineRule="exact"/>
        <w:ind w:firstLineChars="200" w:firstLine="640"/>
        <w:rPr>
          <w:rFonts w:ascii="仿宋_GB2312" w:eastAsia="仿宋_GB2312" w:cs="仿宋" w:hint="eastAsia"/>
          <w:kern w:val="0"/>
          <w:sz w:val="32"/>
          <w:szCs w:val="32"/>
        </w:rPr>
      </w:pPr>
      <w:r>
        <w:rPr>
          <w:rFonts w:ascii="仿宋_GB2312" w:eastAsia="仿宋_GB2312" w:cs="仿宋" w:hint="eastAsia"/>
          <w:kern w:val="0"/>
          <w:sz w:val="32"/>
          <w:szCs w:val="32"/>
        </w:rPr>
        <w:t>市税务局对企业享受税前加计扣除的研发费用开展后续管理核查，研发费用补助资金根据后续管理核定的研发费用相应核算，多退少补。其中：调减后研发费用低于100万元的，企业须及时退回2020年度获得的全部已补助资金。</w:t>
      </w:r>
    </w:p>
    <w:p>
      <w:pPr>
        <w:spacing w:line="600" w:lineRule="exact"/>
        <w:ind w:firstLineChars="200" w:firstLine="640"/>
        <w:rPr>
          <w:rFonts w:ascii="黑体" w:eastAsia="黑体" w:cs="仿宋" w:hint="eastAsia"/>
          <w:sz w:val="32"/>
          <w:szCs w:val="32"/>
        </w:rPr>
      </w:pPr>
      <w:r>
        <w:rPr>
          <w:rFonts w:ascii="黑体" w:eastAsia="黑体" w:cs="仿宋" w:hint="eastAsia"/>
          <w:sz w:val="32"/>
          <w:szCs w:val="32"/>
        </w:rPr>
        <w:t>四、问题事项处理</w:t>
      </w:r>
    </w:p>
    <w:p>
      <w:pPr>
        <w:spacing w:line="600" w:lineRule="exact"/>
        <w:ind w:firstLineChars="200" w:firstLine="640"/>
        <w:rPr>
          <w:rFonts w:ascii="仿宋_GB2312" w:eastAsia="仿宋_GB2312" w:cs="仿宋" w:hint="eastAsia"/>
          <w:sz w:val="32"/>
          <w:szCs w:val="32"/>
        </w:rPr>
      </w:pPr>
      <w:r>
        <w:rPr>
          <w:rFonts w:ascii="仿宋_GB2312" w:eastAsia="仿宋_GB2312" w:cs="仿宋" w:hint="eastAsia"/>
          <w:sz w:val="32"/>
          <w:szCs w:val="32"/>
        </w:rPr>
        <w:t>1.对发现企业研发费用核减为0，或所属2018、2019年研发费用均有核减的企业，取消2021年研发费用补助资金享受资格。</w:t>
      </w:r>
    </w:p>
    <w:p>
      <w:pPr>
        <w:spacing w:line="600" w:lineRule="exact"/>
        <w:ind w:firstLineChars="200" w:firstLine="640"/>
        <w:rPr>
          <w:rFonts w:ascii="仿宋_GB2312" w:eastAsia="仿宋_GB2312" w:cs="仿宋" w:hint="eastAsia"/>
          <w:sz w:val="32"/>
          <w:szCs w:val="32"/>
        </w:rPr>
      </w:pPr>
      <w:r>
        <w:rPr>
          <w:rFonts w:ascii="仿宋_GB2312" w:eastAsia="仿宋_GB2312" w:cs="仿宋" w:hint="eastAsia"/>
          <w:sz w:val="32"/>
          <w:szCs w:val="32"/>
        </w:rPr>
        <w:t>2.应退回补助资金的企业，如未在规定时间内全额退回，取消其后3年财政科技资金的申报资格，同时启动相关法律程序追缴应退回资金</w:t>
      </w:r>
      <w:r>
        <w:rPr>
          <w:rFonts w:ascii="仿宋_GB2312" w:eastAsia="仿宋_GB2312" w:cs="宋体" w:hint="eastAsia"/>
          <w:kern w:val="0"/>
          <w:sz w:val="32"/>
          <w:szCs w:val="32"/>
        </w:rPr>
        <w:t>。</w:t>
      </w:r>
    </w:p>
    <w:p>
      <w:pPr>
        <w:spacing w:line="600" w:lineRule="exact"/>
        <w:ind w:firstLineChars="200" w:firstLine="640"/>
        <w:rPr>
          <w:rFonts w:ascii="仿宋_GB2312" w:eastAsia="仿宋_GB2312" w:cs="仿宋" w:hint="eastAsia"/>
          <w:sz w:val="32"/>
          <w:szCs w:val="32"/>
        </w:rPr>
      </w:pPr>
      <w:r>
        <w:rPr>
          <w:rFonts w:ascii="仿宋_GB2312" w:eastAsia="仿宋_GB2312" w:cs="仿宋" w:hint="eastAsia"/>
          <w:sz w:val="32"/>
          <w:szCs w:val="32"/>
        </w:rPr>
        <w:t>3.对蓄意提供虚假材料套取补助资金的企业，未拨付的补助资金不予拨付，已拨付的补助资金将予以全额追缴，取消其后5年财政科技资金的申报资格。</w:t>
      </w:r>
    </w:p>
    <w:p>
      <w:pPr>
        <w:spacing w:line="600" w:lineRule="exact"/>
        <w:ind w:firstLineChars="200" w:firstLine="640"/>
        <w:rPr>
          <w:rFonts w:ascii="仿宋_GB2312" w:eastAsia="仿宋_GB2312" w:cs="仿宋" w:hint="eastAsia"/>
          <w:sz w:val="32"/>
          <w:szCs w:val="32"/>
        </w:rPr>
      </w:pPr>
      <w:r>
        <w:rPr>
          <w:rFonts w:ascii="仿宋_GB2312" w:eastAsia="仿宋_GB2312" w:cs="仿宋" w:hint="eastAsia"/>
          <w:sz w:val="32"/>
          <w:szCs w:val="32"/>
        </w:rPr>
        <w:t>对以上2-3项企业，根据信用管理相关规定，列入科技失信惩戒名单，</w:t>
      </w:r>
      <w:r>
        <w:rPr>
          <w:rFonts w:ascii="仿宋_GB2312" w:eastAsia="仿宋_GB2312" w:cs="宋体" w:hint="eastAsia"/>
          <w:kern w:val="0"/>
          <w:sz w:val="32"/>
          <w:szCs w:val="32"/>
        </w:rPr>
        <w:t>限制其科研领域内的项目申报、资质认定、表彰奖励、称号授予等财政资金扶持、认定；联合相关部门或机</w:t>
      </w:r>
      <w:bookmarkStart w:id="0" w:name="_GoBack"/>
      <w:bookmarkEnd w:id="0"/>
      <w:r>
        <w:rPr>
          <w:rFonts w:ascii="仿宋_GB2312" w:eastAsia="仿宋_GB2312" w:cs="宋体" w:hint="eastAsia"/>
          <w:kern w:val="0"/>
          <w:sz w:val="32"/>
          <w:szCs w:val="32"/>
        </w:rPr>
        <w:t>构对列入失信惩戒名单的信用主体进行联合惩戒，在实施行政许可、市场监管、资质管理、工程监管、上市管理、信贷支持、财政补贴、征信管理等方面依法予以限制。</w:t>
      </w:r>
    </w:p>
    <w:p>
      <w:pPr>
        <w:spacing w:line="600" w:lineRule="exact"/>
        <w:ind w:firstLineChars="200" w:firstLine="640"/>
        <w:rPr>
          <w:rFonts w:ascii="仿宋_GB2312" w:eastAsia="仿宋_GB2312" w:cs="仿宋" w:hint="eastAsia"/>
          <w:sz w:val="32"/>
          <w:szCs w:val="32"/>
        </w:rPr>
      </w:pPr>
      <w:r>
        <w:rPr>
          <w:rFonts w:ascii="仿宋_GB2312" w:eastAsia="仿宋_GB2312" w:cs="仿宋" w:hint="eastAsia"/>
          <w:sz w:val="32"/>
          <w:szCs w:val="32"/>
        </w:rPr>
        <w:t>4.对不配合核查、监督检查和绩效评估的企业，企业未拨付的补助资金不再拨付，并取消其后5年研发费用补助资金的申报资格。</w:t>
      </w:r>
    </w:p>
    <w:p>
      <w:pPr>
        <w:spacing w:line="600" w:lineRule="exact"/>
        <w:rPr>
          <w:rFonts w:ascii="仿宋_GB2312" w:eastAsia="仿宋_GB2312" w:hint="eastAsia"/>
          <w:sz w:val="32"/>
          <w:szCs w:val="32"/>
        </w:rPr>
      </w:pP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华文中宋">
    <w:panose1 w:val="02010600040101010101"/>
    <w:charset w:val="86"/>
    <w:family w:val="auto"/>
    <w:pitch w:val="variable"/>
    <w:sig w:usb0="00000287" w:usb1="080F0000" w:usb2="00000000" w:usb3="00000000" w:csb0="0004009F" w:csb1="DFD70000"/>
  </w:font>
  <w:font w:name="仿宋_GB2312">
    <w:altName w:val="仿宋"/>
    <w:panose1 w:val="00000000000000000000"/>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tabs>
        <w:tab w:val="center" w:pos="4153"/>
        <w:tab w:val="right" w:pos="8306"/>
      </w:tabs>
    </w:pPr>
    <w:r>
      <mc:AlternateContent>
        <mc:Choice Requires="wps">
          <w:drawing>
            <wp:anchor distT="0" distB="0" distL="114298" distR="114298" simplePos="0" relativeHeight="10" behindDoc="0" locked="0" layoutInCell="1" hidden="0" allowOverlap="1">
              <wp:simplePos x="0" y="0"/>
              <wp:positionH relativeFrom="margin">
                <wp:align>center</wp:align>
              </wp:positionH>
              <wp:positionV relativeFrom="paragraph">
                <wp:posOffset>0</wp:posOffset>
              </wp:positionV>
              <wp:extent cx="57149" cy="131557"/>
              <wp:effectExtent l="0" t="0" r="0" b="0"/>
              <wp:wrapNone/>
              <wp:docPr id="1" name="文本框 1"/>
              <wp:cNvGraphicFramePr>
                <a:graphicFrameLocks noChangeAspect="0"/>
              </wp:cNvGraphicFramePr>
              <a:graphic>
                <a:graphicData uri="http://schemas.microsoft.com/office/word/2010/wordprocessingShape">
                  <wps:wsp>
                    <wps:cNvSpPr/>
                    <wps:spPr>
                      <a:xfrm rot="0">
                        <a:off x="0" y="0"/>
                        <a:ext cx="57149" cy="131557"/>
                      </a:xfrm>
                      <a:prstGeom prst="rect"/>
                      <a:noFill/>
                      <a:ln w="9525" cmpd="sng" cap="flat">
                        <a:noFill/>
                        <a:prstDash val="solid"/>
                        <a:miter/>
                      </a:ln>
                    </wps:spPr>
                    <wps:txbx id="2">
                      <w:txbxContent>
                        <w:p>
                          <w:pPr>
                            <w:pStyle w:val="15"/>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文本框 3" o:spid="_x0000_s3" filled="f" stroked="f" style="position:absolute;&#13;&#10;margin-left:0.0pt;&#13;&#10;margin-top:0.0pt;&#13;&#10;width:4.4999313pt;&#13;&#10;height:10.35884pt;&#13;&#10;z-index:10;&#13;&#10;mso-position-horizontal:center;&#13;&#10;mso-position-horizontal-relative:margin;&#13;&#10;mso-position-vertical:absolute;&#13;&#10;mso-wrap-distance-left:8.999863pt;&#13;&#10;mso-wrap-distance-right:8.999863pt;&#13;&#10;mso-wrap-style:none;">
              <v:stroke color="000000"/>
              <v:textbox id="848" inset="0mm,0mm,0mm,0mm" o:insetmode="custom" style="layout-flow:horizontal;&#13;&#10;v-text-anchor:top;&#13;&#10;mso-fit-shape-to-text:t;">
                <w:txbxContent>
                  <w:p>
                    <w:pPr>
                      <w:pStyle w:val="15"/>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14</TotalTime>
  <Application>Yozo_Office</Application>
  <Pages>3</Pages>
  <Words>942</Words>
  <Characters>1006</Characters>
  <Lines>51</Lines>
  <Paragraphs>18</Paragraphs>
  <CharactersWithSpaces>1006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陈老猫</dc:creator>
  <cp:lastModifiedBy>Microsoft</cp:lastModifiedBy>
  <cp:revision>5</cp:revision>
  <cp:lastPrinted>2020-05-07T10:24:00Z</cp:lastPrinted>
  <dcterms:created xsi:type="dcterms:W3CDTF">2020-05-09T10:40:00Z</dcterms:creat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2052-11.1.0.9584</vt:lpwstr>
  </property>
</Properties>
</file>