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深圳市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eastAsia="zh-CN"/>
        </w:rPr>
        <w:t>商务局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2019年度中央外经贸发展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专项资金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中国国际进口博览会活动事项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ascii="方正小标宋简体" w:hAnsi="宋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申请指南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方正小标宋简体" w:hAnsi="宋体" w:eastAsia="方正小标宋简体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一、支持领域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37" w:firstLineChars="168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支持深圳交易团及相关单位、企业在第二届中国国际进口博览会</w:t>
      </w:r>
      <w:r>
        <w:rPr>
          <w:rFonts w:hint="eastAsia" w:ascii="仿宋_GB2312"/>
          <w:szCs w:val="32"/>
          <w:lang w:eastAsia="zh-CN"/>
        </w:rPr>
        <w:t>（以下简称进口博览会）</w:t>
      </w:r>
      <w:r>
        <w:rPr>
          <w:rFonts w:hint="eastAsia" w:ascii="仿宋_GB2312"/>
          <w:szCs w:val="32"/>
        </w:rPr>
        <w:t>举办期间，组织和开展的各类项目</w:t>
      </w:r>
      <w:r>
        <w:rPr>
          <w:rFonts w:hint="eastAsia" w:ascii="仿宋_GB2312"/>
          <w:szCs w:val="32"/>
          <w:lang w:eastAsia="zh-CN"/>
        </w:rPr>
        <w:t>市场</w:t>
      </w:r>
      <w:r>
        <w:rPr>
          <w:rFonts w:hint="eastAsia" w:ascii="仿宋_GB2312"/>
          <w:szCs w:val="32"/>
        </w:rPr>
        <w:t>对接、项目洽谈、营商环境推介、供应商采购、新品发布、政策宣讲等相关活动，加大我市企业对接国</w:t>
      </w:r>
      <w:r>
        <w:rPr>
          <w:rFonts w:hint="eastAsia" w:ascii="仿宋_GB2312"/>
          <w:szCs w:val="32"/>
          <w:lang w:eastAsia="zh-CN"/>
        </w:rPr>
        <w:t>际</w:t>
      </w:r>
      <w:r>
        <w:rPr>
          <w:rFonts w:hint="eastAsia" w:ascii="仿宋_GB2312"/>
          <w:szCs w:val="32"/>
        </w:rPr>
        <w:t xml:space="preserve">市场、项目、商品采购等资源。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二、设定依据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资金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政策依据：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</w:rPr>
        <w:t>《财政部 商务部关于201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年度外经贸发展专项资金重点工作的通知》（财行〔201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〕1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（二）资金管理依据：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1.《财政部 商务部关于印发〈外经贸发展专项资金管理办法〉的通知》（财行〔2014〕36号）；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2.《财政部 商务部关于〈外经贸发展专项资金管理办法〉的补充通知》（财行〔2016〕480号）；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宋体"/>
          <w:bCs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3.《财政部 商务部关于〈外经贸发展专项资金管理办法〉的补充通知》（财行〔2019〕91号）。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宋体" w:hAnsi="宋体" w:eastAsia="宋体"/>
          <w:b/>
          <w:szCs w:val="32"/>
        </w:rPr>
      </w:pPr>
      <w:r>
        <w:rPr>
          <w:rFonts w:hint="eastAsia" w:ascii="黑体" w:hAnsi="黑体" w:eastAsia="黑体"/>
          <w:szCs w:val="32"/>
        </w:rPr>
        <w:t>三、支持数量</w:t>
      </w:r>
      <w:r>
        <w:rPr>
          <w:rFonts w:hint="eastAsia" w:ascii="黑体" w:hAnsi="黑体" w:eastAsia="黑体"/>
          <w:szCs w:val="32"/>
          <w:lang w:eastAsia="zh-CN"/>
        </w:rPr>
        <w:t>和</w:t>
      </w:r>
      <w:r>
        <w:rPr>
          <w:rFonts w:hint="eastAsia" w:ascii="黑体" w:hAnsi="黑体" w:eastAsia="黑体"/>
          <w:szCs w:val="32"/>
        </w:rPr>
        <w:t>资助方式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仿宋_GB2312" w:hAnsi="宋体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</w:rPr>
        <w:t>（一）支持数量：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数量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限制，受</w:t>
      </w:r>
      <w:r>
        <w:rPr>
          <w:rFonts w:hint="eastAsia" w:ascii="仿宋_GB2312" w:eastAsia="仿宋_GB2312"/>
          <w:sz w:val="32"/>
          <w:szCs w:val="32"/>
        </w:rPr>
        <w:t>国家财政部、商务部下达年度资金预算控制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原则上各级财政资助总额不得大于实际发生金额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。视申报情况和预算安排，我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局据以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对资助金额、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支持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比例和拨付进度等进行统一调整，项目申请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无条件同意调整结果。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</w:rPr>
        <w:t>（二）资助方式：</w:t>
      </w:r>
      <w:r>
        <w:rPr>
          <w:rFonts w:hint="eastAsia" w:ascii="仿宋_GB2312" w:hAnsi="仿宋"/>
          <w:color w:val="auto"/>
          <w:szCs w:val="32"/>
        </w:rPr>
        <w:t>事前申报，</w:t>
      </w:r>
      <w:r>
        <w:rPr>
          <w:rFonts w:hint="eastAsia" w:ascii="仿宋_GB2312" w:hAnsi="仿宋"/>
          <w:color w:val="auto"/>
          <w:szCs w:val="32"/>
          <w:lang w:eastAsia="zh-CN"/>
        </w:rPr>
        <w:t>核准项目和预算</w:t>
      </w:r>
      <w:r>
        <w:rPr>
          <w:rFonts w:hint="eastAsia" w:ascii="仿宋_GB2312" w:hAnsi="仿宋"/>
          <w:color w:val="auto"/>
          <w:szCs w:val="32"/>
        </w:rPr>
        <w:t>，</w:t>
      </w:r>
      <w:r>
        <w:rPr>
          <w:rFonts w:hint="eastAsia" w:ascii="仿宋_GB2312" w:hAnsi="仿宋"/>
          <w:color w:val="auto"/>
          <w:szCs w:val="32"/>
          <w:lang w:eastAsia="zh-CN"/>
        </w:rPr>
        <w:t>预拨</w:t>
      </w:r>
      <w:r>
        <w:rPr>
          <w:rFonts w:hint="eastAsia" w:ascii="仿宋_GB2312" w:hAnsi="仿宋"/>
          <w:color w:val="auto"/>
          <w:szCs w:val="32"/>
          <w:lang w:val="en-US" w:eastAsia="zh-CN"/>
        </w:rPr>
        <w:t>50%预算；</w:t>
      </w:r>
      <w:r>
        <w:rPr>
          <w:rFonts w:hint="eastAsia" w:ascii="仿宋_GB2312" w:hAnsi="仿宋"/>
          <w:color w:val="auto"/>
          <w:szCs w:val="32"/>
          <w:lang w:eastAsia="zh-CN"/>
        </w:rPr>
        <w:t>事后申请，项目审计和结算，</w:t>
      </w:r>
      <w:r>
        <w:rPr>
          <w:rFonts w:hint="eastAsia" w:ascii="仿宋_GB2312" w:hAnsi="仿宋"/>
          <w:color w:val="auto"/>
          <w:szCs w:val="32"/>
        </w:rPr>
        <w:t>资助机关审定</w:t>
      </w:r>
      <w:r>
        <w:rPr>
          <w:rFonts w:hint="eastAsia" w:ascii="仿宋_GB2312" w:hAnsi="仿宋"/>
          <w:color w:val="auto"/>
          <w:szCs w:val="32"/>
          <w:lang w:eastAsia="zh-CN"/>
        </w:rPr>
        <w:t>，资助金额多退少补。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宋体" w:hAnsi="宋体" w:eastAsia="宋体"/>
          <w:b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四</w:t>
      </w:r>
      <w:r>
        <w:rPr>
          <w:rFonts w:hint="eastAsia" w:ascii="黑体" w:hAnsi="黑体" w:eastAsia="黑体"/>
          <w:szCs w:val="32"/>
        </w:rPr>
        <w:t>、资助标准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color w:val="FF0000"/>
        </w:rPr>
      </w:pPr>
      <w:r>
        <w:rPr>
          <w:rFonts w:hint="eastAsia"/>
          <w:color w:val="auto"/>
        </w:rPr>
        <w:t>采取</w:t>
      </w:r>
      <w:r>
        <w:rPr>
          <w:rFonts w:hint="eastAsia" w:ascii="仿宋_GB2312"/>
          <w:color w:val="auto"/>
          <w:szCs w:val="32"/>
        </w:rPr>
        <w:t>事前申报，事后审计</w:t>
      </w:r>
      <w:r>
        <w:rPr>
          <w:rFonts w:hint="eastAsia"/>
          <w:color w:val="auto"/>
        </w:rPr>
        <w:t>方式，对符合条件的</w:t>
      </w:r>
      <w:r>
        <w:rPr>
          <w:rFonts w:hint="eastAsia" w:ascii="仿宋_GB2312"/>
          <w:color w:val="auto"/>
          <w:szCs w:val="32"/>
        </w:rPr>
        <w:t>在进口博览会期间举办的各类活动</w:t>
      </w:r>
      <w:r>
        <w:rPr>
          <w:rFonts w:hint="eastAsia" w:ascii="仿宋_GB2312"/>
          <w:color w:val="auto"/>
          <w:szCs w:val="32"/>
          <w:lang w:eastAsia="zh-CN"/>
        </w:rPr>
        <w:t>给予单家申请单位</w:t>
      </w:r>
      <w:r>
        <w:rPr>
          <w:rFonts w:hint="eastAsia" w:ascii="仿宋_GB2312" w:hAnsi="宋体" w:cs="宋体"/>
          <w:color w:val="auto"/>
          <w:kern w:val="0"/>
          <w:szCs w:val="32"/>
        </w:rPr>
        <w:t>不超过100万元</w:t>
      </w:r>
      <w:r>
        <w:rPr>
          <w:rFonts w:hint="eastAsia" w:ascii="仿宋_GB2312" w:hAnsi="宋体" w:cs="宋体"/>
          <w:color w:val="auto"/>
          <w:kern w:val="0"/>
          <w:szCs w:val="32"/>
          <w:lang w:eastAsia="zh-CN"/>
        </w:rPr>
        <w:t>的资助</w:t>
      </w:r>
      <w:r>
        <w:rPr>
          <w:rFonts w:hint="eastAsia" w:ascii="仿宋_GB2312" w:hAnsi="宋体" w:cs="宋体"/>
          <w:color w:val="auto"/>
          <w:kern w:val="0"/>
          <w:szCs w:val="32"/>
        </w:rPr>
        <w:t>，</w:t>
      </w:r>
      <w:r>
        <w:rPr>
          <w:rFonts w:hint="eastAsia" w:ascii="仿宋_GB2312" w:hAnsi="宋体" w:cs="宋体"/>
          <w:color w:val="auto"/>
          <w:kern w:val="0"/>
          <w:szCs w:val="32"/>
          <w:lang w:eastAsia="zh-CN"/>
        </w:rPr>
        <w:t>对符合条件并实际发生的</w:t>
      </w:r>
      <w:r>
        <w:rPr>
          <w:rFonts w:hint="eastAsia" w:ascii="仿宋_GB2312" w:hAnsi="宋体" w:cs="宋体"/>
          <w:color w:val="auto"/>
          <w:kern w:val="0"/>
          <w:szCs w:val="32"/>
        </w:rPr>
        <w:t>场地租赁费用、场地布置费用、设备租赁费用、翻译费用、</w:t>
      </w:r>
      <w:r>
        <w:rPr>
          <w:rFonts w:hint="eastAsia" w:ascii="仿宋_GB2312" w:hAnsi="宋体" w:cs="宋体"/>
          <w:color w:val="auto"/>
          <w:kern w:val="0"/>
          <w:szCs w:val="32"/>
          <w:highlight w:val="none"/>
          <w:lang w:eastAsia="zh-CN"/>
        </w:rPr>
        <w:t>会议服务费用（按不超过活动结算总费用的</w:t>
      </w:r>
      <w:r>
        <w:rPr>
          <w:rFonts w:hint="eastAsia" w:ascii="仿宋_GB2312" w:hAnsi="宋体" w:cs="宋体"/>
          <w:color w:val="auto"/>
          <w:kern w:val="0"/>
          <w:szCs w:val="32"/>
          <w:highlight w:val="none"/>
          <w:lang w:val="en-US" w:eastAsia="zh-CN"/>
        </w:rPr>
        <w:t>5%计算</w:t>
      </w:r>
      <w:r>
        <w:rPr>
          <w:rFonts w:hint="eastAsia" w:ascii="仿宋_GB2312" w:hAnsi="宋体" w:cs="宋体"/>
          <w:color w:val="auto"/>
          <w:kern w:val="0"/>
          <w:szCs w:val="32"/>
          <w:highlight w:val="none"/>
          <w:lang w:eastAsia="zh-CN"/>
        </w:rPr>
        <w:t>）、</w:t>
      </w:r>
      <w:r>
        <w:rPr>
          <w:rFonts w:hint="eastAsia" w:ascii="仿宋_GB2312" w:hAnsi="宋体" w:cs="宋体"/>
          <w:color w:val="auto"/>
          <w:kern w:val="0"/>
          <w:szCs w:val="32"/>
          <w:highlight w:val="none"/>
        </w:rPr>
        <w:t>宣传推广费用（线下媒体宣传、线上平台宣传、户外广告宣传</w:t>
      </w:r>
      <w:r>
        <w:rPr>
          <w:rFonts w:hint="eastAsia" w:ascii="仿宋_GB2312" w:hAnsi="宋体" w:cs="宋体"/>
          <w:color w:val="auto"/>
          <w:kern w:val="0"/>
          <w:szCs w:val="32"/>
          <w:highlight w:val="none"/>
          <w:lang w:eastAsia="zh-CN"/>
        </w:rPr>
        <w:t>、视频制作</w:t>
      </w:r>
      <w:r>
        <w:rPr>
          <w:rFonts w:hint="eastAsia" w:ascii="仿宋_GB2312" w:hAnsi="宋体" w:cs="宋体"/>
          <w:color w:val="auto"/>
          <w:kern w:val="0"/>
          <w:szCs w:val="32"/>
          <w:highlight w:val="none"/>
        </w:rPr>
        <w:t>以及资料印刷费用）</w:t>
      </w:r>
      <w:r>
        <w:rPr>
          <w:rFonts w:hint="eastAsia" w:ascii="仿宋_GB2312" w:hAnsi="宋体" w:cs="宋体"/>
          <w:color w:val="auto"/>
          <w:kern w:val="0"/>
          <w:szCs w:val="32"/>
          <w:lang w:eastAsia="zh-CN"/>
        </w:rPr>
        <w:t>等费用给予</w:t>
      </w:r>
      <w:r>
        <w:rPr>
          <w:rFonts w:hint="eastAsia" w:ascii="仿宋_GB2312" w:hAnsi="宋体" w:cs="宋体"/>
          <w:color w:val="auto"/>
          <w:kern w:val="0"/>
          <w:szCs w:val="32"/>
          <w:lang w:val="en-US" w:eastAsia="zh-CN"/>
        </w:rPr>
        <w:t>100%的支持</w:t>
      </w:r>
      <w:r>
        <w:rPr>
          <w:rFonts w:hint="eastAsia"/>
          <w:color w:val="auto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五</w:t>
      </w:r>
      <w:r>
        <w:rPr>
          <w:rFonts w:hint="eastAsia" w:ascii="黑体" w:hAnsi="黑体" w:eastAsia="黑体"/>
          <w:szCs w:val="32"/>
        </w:rPr>
        <w:t>、申报条件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（一）</w:t>
      </w:r>
      <w:r>
        <w:rPr>
          <w:rFonts w:ascii="仿宋_GB2312"/>
          <w:szCs w:val="32"/>
        </w:rPr>
        <w:t>符合财政部</w:t>
      </w:r>
      <w:r>
        <w:rPr>
          <w:rFonts w:hint="eastAsia" w:ascii="仿宋_GB2312"/>
          <w:szCs w:val="32"/>
        </w:rPr>
        <w:t>、商务部《外经贸发展专项资金管理办法》第十一条所规定的基本条件</w:t>
      </w:r>
      <w:r>
        <w:rPr>
          <w:rFonts w:hint="eastAsia" w:ascii="仿宋_GB231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1.</w:t>
      </w:r>
      <w:r>
        <w:rPr>
          <w:rFonts w:hint="eastAsia" w:ascii="仿宋_GB2312"/>
          <w:color w:val="auto"/>
          <w:szCs w:val="32"/>
        </w:rPr>
        <w:t>在深圳市</w:t>
      </w:r>
      <w:r>
        <w:rPr>
          <w:rFonts w:hint="eastAsia" w:ascii="仿宋_GB2312"/>
          <w:color w:val="auto"/>
          <w:szCs w:val="32"/>
          <w:lang w:eastAsia="zh-CN"/>
        </w:rPr>
        <w:t>行政区域内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依法注册的独立法人企业</w:t>
      </w:r>
      <w:r>
        <w:rPr>
          <w:rFonts w:hint="eastAsia" w:ascii="仿宋_GB2312" w:hAnsi="宋体" w:cs="宋体"/>
          <w:color w:val="auto"/>
          <w:kern w:val="0"/>
          <w:sz w:val="32"/>
          <w:szCs w:val="32"/>
          <w:lang w:eastAsia="zh-CN"/>
        </w:rPr>
        <w:t>、社会组织，以及商务主管部门；</w:t>
      </w:r>
      <w:r>
        <w:rPr>
          <w:rFonts w:ascii="仿宋_GB2312" w:hAnsi="仿宋"/>
          <w:szCs w:val="32"/>
        </w:rPr>
        <w:t>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76" w:firstLineChars="200"/>
        <w:textAlignment w:val="auto"/>
        <w:rPr>
          <w:rFonts w:hint="eastAsia" w:ascii="仿宋_GB2312" w:hAnsi="仿宋" w:eastAsia="仿宋_GB2312"/>
          <w:spacing w:val="-16"/>
          <w:szCs w:val="32"/>
          <w:lang w:eastAsia="zh-CN"/>
        </w:rPr>
      </w:pPr>
      <w:r>
        <w:rPr>
          <w:rFonts w:hint="eastAsia" w:ascii="仿宋_GB2312" w:hAnsi="仿宋"/>
          <w:spacing w:val="-16"/>
          <w:szCs w:val="32"/>
          <w:lang w:val="en-US" w:eastAsia="zh-CN"/>
        </w:rPr>
        <w:t>2</w:t>
      </w:r>
      <w:r>
        <w:rPr>
          <w:rFonts w:hint="eastAsia" w:ascii="仿宋_GB2312" w:hAnsi="仿宋"/>
          <w:spacing w:val="-16"/>
          <w:szCs w:val="32"/>
        </w:rPr>
        <w:t>.</w:t>
      </w:r>
      <w:r>
        <w:rPr>
          <w:rFonts w:ascii="仿宋_GB2312" w:hAnsi="仿宋"/>
          <w:spacing w:val="-16"/>
          <w:szCs w:val="32"/>
        </w:rPr>
        <w:t>近五年</w:t>
      </w:r>
      <w:r>
        <w:rPr>
          <w:rFonts w:hint="eastAsia" w:ascii="仿宋_GB2312" w:hAnsi="仿宋"/>
          <w:spacing w:val="-16"/>
          <w:szCs w:val="32"/>
          <w:lang w:eastAsia="zh-CN"/>
        </w:rPr>
        <w:t>（</w:t>
      </w:r>
      <w:r>
        <w:rPr>
          <w:rFonts w:hint="eastAsia" w:ascii="仿宋_GB2312" w:hAnsi="仿宋"/>
          <w:spacing w:val="-16"/>
          <w:szCs w:val="32"/>
          <w:lang w:val="en-US" w:eastAsia="zh-CN"/>
        </w:rPr>
        <w:t>2014年—2018年）在海关、外管、民政等部门</w:t>
      </w:r>
      <w:r>
        <w:rPr>
          <w:rFonts w:ascii="仿宋_GB2312" w:hAnsi="仿宋"/>
          <w:spacing w:val="-16"/>
          <w:szCs w:val="32"/>
        </w:rPr>
        <w:t>无严重违法违规行为，未拖欠应缴还的财政性资金</w:t>
      </w:r>
      <w:r>
        <w:rPr>
          <w:rFonts w:hint="eastAsia" w:ascii="仿宋_GB2312" w:hAnsi="仿宋"/>
          <w:spacing w:val="-16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Cs w:val="32"/>
          <w:lang w:eastAsia="zh-CN"/>
        </w:rPr>
      </w:pPr>
      <w:r>
        <w:rPr>
          <w:rFonts w:hint="eastAsia" w:ascii="仿宋_GB2312" w:hAnsi="仿宋"/>
          <w:szCs w:val="32"/>
          <w:lang w:val="en-US" w:eastAsia="zh-CN"/>
        </w:rPr>
        <w:t>3</w:t>
      </w:r>
      <w:r>
        <w:rPr>
          <w:rFonts w:hint="eastAsia" w:ascii="仿宋_GB2312" w:hAnsi="仿宋"/>
          <w:szCs w:val="32"/>
        </w:rPr>
        <w:t>.</w:t>
      </w:r>
      <w:r>
        <w:rPr>
          <w:rFonts w:ascii="仿宋_GB2312" w:hAnsi="仿宋"/>
          <w:szCs w:val="32"/>
        </w:rPr>
        <w:t>按</w:t>
      </w:r>
      <w:r>
        <w:rPr>
          <w:rFonts w:hint="eastAsia" w:ascii="仿宋_GB2312" w:hAnsi="仿宋"/>
          <w:szCs w:val="32"/>
          <w:lang w:eastAsia="zh-CN"/>
        </w:rPr>
        <w:t>规定</w:t>
      </w:r>
      <w:r>
        <w:rPr>
          <w:rFonts w:hint="eastAsia" w:ascii="仿宋_GB2312"/>
          <w:szCs w:val="32"/>
        </w:rPr>
        <w:t>提供活动信息报送和活动统计数据。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（二）</w:t>
      </w:r>
      <w:r>
        <w:rPr>
          <w:rFonts w:hint="eastAsia" w:ascii="仿宋_GB2312"/>
          <w:szCs w:val="32"/>
        </w:rPr>
        <w:t>活动</w:t>
      </w:r>
      <w:r>
        <w:rPr>
          <w:rFonts w:hint="eastAsia" w:ascii="仿宋_GB2312"/>
          <w:szCs w:val="32"/>
          <w:lang w:eastAsia="zh-CN"/>
        </w:rPr>
        <w:t>执行</w:t>
      </w:r>
      <w:r>
        <w:rPr>
          <w:rFonts w:hint="eastAsia" w:ascii="仿宋_GB2312"/>
          <w:szCs w:val="32"/>
        </w:rPr>
        <w:t>的时间在2019年11月5日-10日第二届进口博览会举办期间，举办地点在上海市内。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（三）</w:t>
      </w:r>
      <w:r>
        <w:rPr>
          <w:rFonts w:hint="eastAsia" w:ascii="仿宋_GB2312"/>
          <w:szCs w:val="32"/>
        </w:rPr>
        <w:t>活动参加人数不低于</w:t>
      </w:r>
      <w:r>
        <w:rPr>
          <w:rFonts w:hint="eastAsia" w:ascii="仿宋_GB2312"/>
          <w:szCs w:val="32"/>
          <w:lang w:val="en-US" w:eastAsia="zh-CN"/>
        </w:rPr>
        <w:t>150</w:t>
      </w:r>
      <w:r>
        <w:rPr>
          <w:rFonts w:hint="eastAsia" w:ascii="仿宋_GB2312"/>
          <w:szCs w:val="32"/>
        </w:rPr>
        <w:t>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（四）</w:t>
      </w:r>
      <w:r>
        <w:rPr>
          <w:rFonts w:hint="eastAsia" w:ascii="仿宋_GB2312"/>
          <w:szCs w:val="32"/>
        </w:rPr>
        <w:t>申报</w:t>
      </w:r>
      <w:r>
        <w:rPr>
          <w:rFonts w:hint="eastAsia" w:ascii="仿宋_GB2312"/>
          <w:szCs w:val="32"/>
          <w:lang w:eastAsia="zh-CN"/>
        </w:rPr>
        <w:t>单位</w:t>
      </w:r>
      <w:r>
        <w:rPr>
          <w:rFonts w:hint="eastAsia" w:ascii="仿宋_GB2312"/>
          <w:szCs w:val="32"/>
        </w:rPr>
        <w:t>主体</w:t>
      </w:r>
      <w:r>
        <w:rPr>
          <w:rFonts w:hint="eastAsia" w:ascii="仿宋_GB2312"/>
          <w:szCs w:val="32"/>
          <w:lang w:eastAsia="zh-CN"/>
        </w:rPr>
        <w:t>需与</w:t>
      </w:r>
      <w:r>
        <w:rPr>
          <w:rFonts w:hint="eastAsia" w:ascii="仿宋_GB2312"/>
          <w:szCs w:val="32"/>
        </w:rPr>
        <w:t>活动主办方、</w:t>
      </w:r>
      <w:r>
        <w:rPr>
          <w:rFonts w:hint="eastAsia" w:ascii="仿宋_GB2312"/>
          <w:szCs w:val="32"/>
          <w:lang w:eastAsia="zh-CN"/>
        </w:rPr>
        <w:t>合同协议和</w:t>
      </w:r>
      <w:r>
        <w:rPr>
          <w:rFonts w:hint="eastAsia" w:ascii="仿宋_GB2312"/>
          <w:szCs w:val="32"/>
        </w:rPr>
        <w:t>费用单据</w:t>
      </w:r>
      <w:r>
        <w:rPr>
          <w:rFonts w:hint="eastAsia" w:ascii="仿宋_GB2312"/>
          <w:szCs w:val="32"/>
          <w:lang w:eastAsia="zh-CN"/>
        </w:rPr>
        <w:t>主体</w:t>
      </w:r>
      <w:r>
        <w:rPr>
          <w:rFonts w:hint="eastAsia" w:ascii="仿宋_GB2312"/>
          <w:szCs w:val="32"/>
        </w:rPr>
        <w:t>保持一致。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/>
          <w:szCs w:val="32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六、支持内容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（一）举办市场对接、供应商采购等以扩大采购交易额为目的的活动。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（二）举办项目洽谈、投资推广等以促进两地项目合作为目的的活动。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（三）举办新品发布、政策宣讲等以提升企业、地区形象为目的的活动。</w:t>
      </w:r>
    </w:p>
    <w:p>
      <w:pPr>
        <w:shd w:val="clear" w:color="auto" w:fill="FFFFFF"/>
        <w:ind w:firstLine="640" w:firstLineChars="200"/>
        <w:jc w:val="left"/>
        <w:rPr>
          <w:rFonts w:hint="eastAsia"/>
          <w:color w:val="auto"/>
        </w:rPr>
      </w:pPr>
      <w:r>
        <w:rPr>
          <w:rFonts w:hint="eastAsia" w:ascii="仿宋_GB2312"/>
          <w:szCs w:val="32"/>
          <w:lang w:eastAsia="zh-CN"/>
        </w:rPr>
        <w:t>（四）</w:t>
      </w:r>
      <w:r>
        <w:rPr>
          <w:rFonts w:hint="eastAsia" w:ascii="仿宋_GB2312" w:hAnsi="宋体" w:cs="宋体"/>
          <w:color w:val="auto"/>
          <w:kern w:val="0"/>
          <w:szCs w:val="32"/>
        </w:rPr>
        <w:t>主要资助用于举办</w:t>
      </w:r>
      <w:r>
        <w:rPr>
          <w:rFonts w:hint="eastAsia" w:ascii="仿宋_GB2312" w:hAnsi="宋体" w:cs="宋体"/>
          <w:color w:val="auto"/>
          <w:kern w:val="0"/>
          <w:szCs w:val="32"/>
          <w:lang w:eastAsia="zh-CN"/>
        </w:rPr>
        <w:t>上述三类</w:t>
      </w:r>
      <w:r>
        <w:rPr>
          <w:rFonts w:hint="eastAsia" w:ascii="仿宋_GB2312" w:hAnsi="宋体" w:cs="宋体"/>
          <w:color w:val="auto"/>
          <w:kern w:val="0"/>
          <w:szCs w:val="32"/>
        </w:rPr>
        <w:t>活动的场地租赁费用、场地布置费用、设备租赁费用、翻译费用</w:t>
      </w:r>
      <w:r>
        <w:rPr>
          <w:rFonts w:hint="eastAsia" w:ascii="仿宋_GB2312" w:hAnsi="宋体" w:cs="宋体"/>
          <w:color w:val="auto"/>
          <w:kern w:val="0"/>
          <w:szCs w:val="32"/>
          <w:highlight w:val="none"/>
        </w:rPr>
        <w:t>、</w:t>
      </w:r>
      <w:r>
        <w:rPr>
          <w:rFonts w:hint="eastAsia" w:ascii="仿宋_GB2312" w:hAnsi="宋体" w:cs="宋体"/>
          <w:color w:val="auto"/>
          <w:kern w:val="0"/>
          <w:szCs w:val="32"/>
          <w:highlight w:val="none"/>
          <w:lang w:eastAsia="zh-CN"/>
        </w:rPr>
        <w:t>会议服务费用（按不超过活动结算总费用的</w:t>
      </w:r>
      <w:r>
        <w:rPr>
          <w:rFonts w:hint="eastAsia" w:ascii="仿宋_GB2312" w:hAnsi="宋体" w:cs="宋体"/>
          <w:color w:val="auto"/>
          <w:kern w:val="0"/>
          <w:szCs w:val="32"/>
          <w:highlight w:val="none"/>
          <w:lang w:val="en-US" w:eastAsia="zh-CN"/>
        </w:rPr>
        <w:t>5%计算</w:t>
      </w:r>
      <w:r>
        <w:rPr>
          <w:rFonts w:hint="eastAsia" w:ascii="仿宋_GB2312" w:hAnsi="宋体" w:cs="宋体"/>
          <w:color w:val="auto"/>
          <w:kern w:val="0"/>
          <w:szCs w:val="32"/>
          <w:highlight w:val="none"/>
          <w:lang w:eastAsia="zh-CN"/>
        </w:rPr>
        <w:t>）、</w:t>
      </w:r>
      <w:r>
        <w:rPr>
          <w:rFonts w:hint="eastAsia" w:ascii="仿宋_GB2312" w:hAnsi="宋体" w:cs="宋体"/>
          <w:color w:val="auto"/>
          <w:kern w:val="0"/>
          <w:szCs w:val="32"/>
          <w:highlight w:val="none"/>
        </w:rPr>
        <w:t>宣传推广费用（线下媒体宣传、线上平台宣传、户外广告宣传</w:t>
      </w:r>
      <w:r>
        <w:rPr>
          <w:rFonts w:hint="eastAsia" w:ascii="仿宋_GB2312" w:hAnsi="宋体" w:cs="宋体"/>
          <w:color w:val="auto"/>
          <w:kern w:val="0"/>
          <w:szCs w:val="32"/>
          <w:highlight w:val="none"/>
          <w:lang w:eastAsia="zh-CN"/>
        </w:rPr>
        <w:t>、视频制作</w:t>
      </w:r>
      <w:r>
        <w:rPr>
          <w:rFonts w:hint="eastAsia" w:ascii="仿宋_GB2312" w:hAnsi="宋体" w:cs="宋体"/>
          <w:color w:val="auto"/>
          <w:kern w:val="0"/>
          <w:szCs w:val="32"/>
          <w:highlight w:val="none"/>
        </w:rPr>
        <w:t>以及资料印刷费用）</w:t>
      </w:r>
      <w:r>
        <w:rPr>
          <w:rFonts w:hint="eastAsia" w:ascii="仿宋_GB2312" w:hAnsi="宋体" w:cs="宋体"/>
          <w:color w:val="auto"/>
          <w:kern w:val="0"/>
          <w:szCs w:val="32"/>
          <w:highlight w:val="none"/>
          <w:lang w:eastAsia="zh-CN"/>
        </w:rPr>
        <w:t>，对符合条件并实际发生的</w:t>
      </w:r>
      <w:r>
        <w:rPr>
          <w:rFonts w:hint="eastAsia" w:ascii="仿宋_GB2312" w:hAnsi="宋体" w:cs="宋体"/>
          <w:color w:val="auto"/>
          <w:kern w:val="0"/>
          <w:szCs w:val="32"/>
          <w:lang w:eastAsia="zh-CN"/>
        </w:rPr>
        <w:t>上述费用给予</w:t>
      </w:r>
      <w:r>
        <w:rPr>
          <w:rFonts w:hint="eastAsia" w:ascii="仿宋_GB2312" w:hAnsi="宋体" w:cs="宋体"/>
          <w:color w:val="auto"/>
          <w:kern w:val="0"/>
          <w:szCs w:val="32"/>
          <w:lang w:val="en-US" w:eastAsia="zh-CN"/>
        </w:rPr>
        <w:t>100%的支持</w:t>
      </w:r>
      <w:r>
        <w:rPr>
          <w:rFonts w:hint="eastAsia"/>
          <w:color w:val="auto"/>
        </w:rPr>
        <w:t>。</w:t>
      </w:r>
    </w:p>
    <w:p>
      <w:pPr>
        <w:shd w:val="clear" w:color="auto" w:fill="FFFFFF"/>
        <w:ind w:firstLine="640" w:firstLineChars="200"/>
        <w:jc w:val="left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2"/>
          <w:sz w:val="32"/>
          <w:szCs w:val="32"/>
        </w:rPr>
        <w:t>、申请材料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（一）事前申报材料：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项目申请书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申报企业或单位自行登录深圳市商务局财政专项资金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管理系统（网址：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"http://zj.commerce.sz.gov.cn/SFWWeb/）在线填报，提供通过该系统打印的承诺书及申请表等纸质文件原件。"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http://zj.commerce.sz.gov.cn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）在线填报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《深圳市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商务局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年度中央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外经贸发展专项资金（中国国际进口博览会活动事项）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申请书》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，提供通过该系统打印的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书及申请表等纸质文件原件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宋体" w:cs="宋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企业法人</w:t>
      </w:r>
      <w:r>
        <w:rPr>
          <w:rFonts w:hint="eastAsia" w:ascii="仿宋_GB2312" w:hAnsi="宋体" w:cs="宋体"/>
          <w:b w:val="0"/>
          <w:bCs/>
          <w:color w:val="000000"/>
          <w:kern w:val="0"/>
          <w:sz w:val="32"/>
          <w:szCs w:val="32"/>
          <w:lang w:eastAsia="zh-CN"/>
        </w:rPr>
        <w:t>提供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营业执照副本或营业执照复印件</w:t>
      </w:r>
      <w:r>
        <w:rPr>
          <w:rFonts w:hint="eastAsia" w:ascii="仿宋_GB2312" w:hAnsi="宋体" w:cs="宋体"/>
          <w:b w:val="0"/>
          <w:bCs/>
          <w:color w:val="000000"/>
          <w:kern w:val="0"/>
          <w:sz w:val="32"/>
          <w:szCs w:val="32"/>
          <w:lang w:eastAsia="zh-CN"/>
        </w:rPr>
        <w:t>，社会组织提供社会组织登记证复印件，商务主管部门无须提交相关证明文件；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3.</w:t>
      </w:r>
      <w:r>
        <w:rPr>
          <w:rFonts w:hint="eastAsia" w:ascii="仿宋_GB2312"/>
          <w:sz w:val="32"/>
          <w:szCs w:val="32"/>
        </w:rPr>
        <w:t>活动方案</w:t>
      </w:r>
      <w:r>
        <w:rPr>
          <w:rFonts w:hint="eastAsia" w:ascii="仿宋_GB2312"/>
          <w:sz w:val="32"/>
          <w:szCs w:val="32"/>
          <w:lang w:eastAsia="zh-CN"/>
        </w:rPr>
        <w:t>，方案内容</w:t>
      </w:r>
      <w:r>
        <w:rPr>
          <w:rFonts w:hint="eastAsia" w:ascii="仿宋_GB2312"/>
          <w:sz w:val="32"/>
          <w:szCs w:val="32"/>
        </w:rPr>
        <w:t>主要包括活动主题、人员规模和参会主要单位、活动方式及议程、预计活动效果等部分</w:t>
      </w:r>
      <w:r>
        <w:rPr>
          <w:rFonts w:hint="eastAsia" w:ascii="仿宋_GB2312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4.</w:t>
      </w:r>
      <w:r>
        <w:rPr>
          <w:rFonts w:hint="eastAsia" w:ascii="仿宋_GB2312"/>
          <w:sz w:val="32"/>
          <w:szCs w:val="32"/>
        </w:rPr>
        <w:t>活动费用报价表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hint="eastAsia" w:ascii="仿宋_GB2312"/>
          <w:sz w:val="32"/>
          <w:szCs w:val="32"/>
        </w:rPr>
        <w:t>报价内容主要包括</w:t>
      </w:r>
      <w:r>
        <w:rPr>
          <w:rFonts w:hint="eastAsia" w:ascii="仿宋_GB2312" w:hAnsi="黑体" w:cs="黑体"/>
          <w:sz w:val="32"/>
          <w:szCs w:val="32"/>
        </w:rPr>
        <w:t>场</w:t>
      </w:r>
      <w:r>
        <w:rPr>
          <w:rFonts w:hint="eastAsia" w:ascii="仿宋_GB2312"/>
          <w:sz w:val="32"/>
          <w:szCs w:val="32"/>
        </w:rPr>
        <w:t>地租赁费用、场地布置费用、设备租赁费用、翻译费用、宣传推广费用等</w:t>
      </w:r>
      <w:r>
        <w:rPr>
          <w:rFonts w:hint="eastAsia" w:ascii="仿宋_GB2312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5.</w:t>
      </w:r>
      <w:r>
        <w:rPr>
          <w:rFonts w:hint="eastAsia" w:ascii="仿宋_GB2312"/>
          <w:sz w:val="32"/>
          <w:szCs w:val="32"/>
          <w:lang w:eastAsia="zh-CN"/>
        </w:rPr>
        <w:t>活动</w:t>
      </w:r>
      <w:r>
        <w:rPr>
          <w:rFonts w:hint="eastAsia" w:ascii="仿宋_GB2312"/>
          <w:sz w:val="32"/>
          <w:szCs w:val="32"/>
        </w:rPr>
        <w:t>绩效预估表</w:t>
      </w:r>
      <w:r>
        <w:rPr>
          <w:rFonts w:hint="eastAsia" w:ascii="仿宋_GB2312"/>
          <w:sz w:val="32"/>
          <w:szCs w:val="32"/>
          <w:lang w:eastAsia="zh-CN"/>
        </w:rPr>
        <w:t>（详见附件）。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（二）事后申请材料：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1.活动总结报告，报告内容主要包括活动基本情况、主要成效、绩效评估以及下一步建议等；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2.场地租赁费用、场地布置费用、设备租赁费用、翻译费用、承办费用、宣传推广费用的合同协议复印件，以及发票或单据复印件（验原件收复印件）；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3.活动结算清单，对应事前核准预算，列出实际发生费用；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邀请企业名单</w:t>
      </w:r>
      <w:r>
        <w:rPr>
          <w:rFonts w:hint="eastAsia" w:ascii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需包括所在企业名称、姓名、职务、有效联系方式等信息）</w:t>
      </w:r>
      <w:r>
        <w:rPr>
          <w:rFonts w:hint="eastAsia" w:ascii="仿宋_GB2312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黑体" w:eastAsia="仿宋_GB2312"/>
          <w:sz w:val="32"/>
          <w:szCs w:val="32"/>
        </w:rPr>
        <w:t>活动现场照片</w:t>
      </w:r>
      <w:r>
        <w:rPr>
          <w:rFonts w:hint="eastAsia" w:ascii="仿宋_GB2312" w:hAnsi="黑体"/>
          <w:sz w:val="32"/>
          <w:szCs w:val="32"/>
          <w:lang w:val="en-US" w:eastAsia="zh-CN"/>
        </w:rPr>
        <w:t>A4纸打印</w:t>
      </w:r>
      <w:r>
        <w:rPr>
          <w:rFonts w:hint="eastAsia" w:ascii="仿宋_GB2312" w:hAnsi="黑体" w:eastAsia="仿宋_GB2312"/>
          <w:sz w:val="32"/>
          <w:szCs w:val="32"/>
        </w:rPr>
        <w:t>或视频</w:t>
      </w:r>
      <w:r>
        <w:rPr>
          <w:rFonts w:hint="eastAsia" w:ascii="仿宋_GB2312" w:hAnsi="黑体"/>
          <w:sz w:val="32"/>
          <w:szCs w:val="32"/>
          <w:lang w:eastAsia="zh-CN"/>
        </w:rPr>
        <w:t>光盘；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黑体"/>
          <w:sz w:val="32"/>
          <w:szCs w:val="32"/>
          <w:lang w:val="en-US" w:eastAsia="zh-CN"/>
        </w:rPr>
      </w:pPr>
      <w:r>
        <w:rPr>
          <w:rFonts w:hint="eastAsia" w:ascii="仿宋_GB2312" w:hAnsi="黑体"/>
          <w:sz w:val="32"/>
          <w:szCs w:val="32"/>
          <w:lang w:val="en-US" w:eastAsia="zh-CN"/>
        </w:rPr>
        <w:t>6.活动组织、宣传推广或</w:t>
      </w:r>
      <w:r>
        <w:rPr>
          <w:rFonts w:hint="eastAsia" w:ascii="仿宋_GB2312" w:hAnsi="黑体" w:eastAsia="仿宋_GB2312"/>
          <w:sz w:val="32"/>
          <w:szCs w:val="32"/>
        </w:rPr>
        <w:t>媒体相关报道材料</w:t>
      </w:r>
      <w:r>
        <w:rPr>
          <w:rFonts w:hint="eastAsia" w:ascii="仿宋_GB2312" w:hAnsi="黑体"/>
          <w:sz w:val="32"/>
          <w:szCs w:val="32"/>
          <w:lang w:eastAsia="zh-CN"/>
        </w:rPr>
        <w:t>复印件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</w:rPr>
        <w:t>以上材料均需加盖企业公章，多页的还需加盖骑缝公章；一式两份，A4纸正反面打印/复印，非空白页需（含封面）连续编写页码，装订成册（胶装）。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八、申请表格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本指南第七条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所规定申请书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eastAsia="zh-CN"/>
        </w:rPr>
        <w:t>和活动绩效预估表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、受理机关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</w:rPr>
        <w:t>（一）受理机关：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深圳市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商务局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宋体" w:eastAsia="楷体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color w:val="000000"/>
          <w:kern w:val="0"/>
          <w:sz w:val="32"/>
          <w:szCs w:val="32"/>
        </w:rPr>
        <w:t>（二）受理时间和受理地点：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网络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填报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受理时间：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201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日-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cs="宋体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月</w:t>
      </w:r>
      <w:r>
        <w:rPr>
          <w:rFonts w:hint="eastAsia" w:ascii="仿宋_GB2312" w:hAnsi="宋体" w:cs="宋体"/>
          <w:color w:val="000000"/>
          <w:kern w:val="0"/>
          <w:sz w:val="30"/>
          <w:szCs w:val="30"/>
          <w:lang w:val="en-US" w:eastAsia="zh-CN"/>
        </w:rPr>
        <w:t>04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日17时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纸质材料受理时间：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201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日-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cs="宋体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月</w:t>
      </w:r>
      <w:r>
        <w:rPr>
          <w:rFonts w:hint="eastAsia" w:ascii="仿宋_GB2312" w:hAnsi="宋体" w:cs="宋体"/>
          <w:color w:val="000000"/>
          <w:kern w:val="0"/>
          <w:sz w:val="30"/>
          <w:szCs w:val="30"/>
          <w:lang w:val="en-US" w:eastAsia="zh-CN"/>
        </w:rPr>
        <w:t>04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日17时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宋体" w:eastAsia="楷体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企业在规定时间内在线填报，并向深圳市行政服务大厅西厅综合窗口提交申请材料。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 w:val="0"/>
          <w:bCs w:val="0"/>
          <w:color w:val="000000"/>
          <w:kern w:val="0"/>
          <w:sz w:val="32"/>
          <w:szCs w:val="32"/>
        </w:rPr>
        <w:t>（三）咨询</w:t>
      </w:r>
      <w:r>
        <w:rPr>
          <w:rFonts w:hint="eastAsia" w:ascii="楷体_GB2312" w:hAnsi="宋体" w:eastAsia="楷体_GB2312" w:cs="宋体"/>
          <w:b w:val="0"/>
          <w:bCs w:val="0"/>
          <w:color w:val="000000"/>
          <w:kern w:val="0"/>
          <w:sz w:val="32"/>
          <w:szCs w:val="32"/>
          <w:lang w:eastAsia="zh-CN"/>
        </w:rPr>
        <w:t>电话</w:t>
      </w:r>
      <w:r>
        <w:rPr>
          <w:rFonts w:hint="eastAsia" w:ascii="楷体_GB2312" w:hAnsi="宋体" w:eastAsia="楷体_GB2312" w:cs="宋体"/>
          <w:b w:val="0"/>
          <w:bCs w:val="0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88127207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、决定机关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/>
          <w:sz w:val="32"/>
          <w:szCs w:val="32"/>
          <w:lang w:bidi="ar"/>
        </w:rPr>
      </w:pPr>
      <w:r>
        <w:rPr>
          <w:rFonts w:hint="eastAsia" w:ascii="仿宋_GB2312"/>
          <w:sz w:val="32"/>
          <w:szCs w:val="32"/>
          <w:lang w:bidi="ar"/>
        </w:rPr>
        <w:t>深圳市商务局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  <w:lang w:eastAsia="zh-CN"/>
        </w:rPr>
        <w:t>十一</w:t>
      </w: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、</w:t>
      </w:r>
      <w:r>
        <w:rPr>
          <w:rFonts w:hint="eastAsia" w:ascii="黑体" w:hAnsi="黑体" w:eastAsia="黑体" w:cs="宋体"/>
          <w:bCs/>
          <w:color w:val="000000"/>
          <w:sz w:val="32"/>
          <w:szCs w:val="32"/>
          <w:lang w:eastAsia="zh-CN"/>
        </w:rPr>
        <w:t>办理</w:t>
      </w: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流程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int="eastAsia" w:ascii="仿宋_GB2312"/>
          <w:kern w:val="0"/>
          <w:szCs w:val="32"/>
          <w:lang w:bidi="ar"/>
        </w:rPr>
      </w:pPr>
      <w:r>
        <w:rPr>
          <w:rFonts w:hint="eastAsia" w:ascii="仿宋_GB2312"/>
          <w:kern w:val="0"/>
          <w:szCs w:val="32"/>
          <w:lang w:bidi="ar"/>
        </w:rPr>
        <w:t>发布申请指南——</w:t>
      </w:r>
      <w:r>
        <w:rPr>
          <w:rFonts w:hint="eastAsia" w:ascii="仿宋_GB2312"/>
          <w:kern w:val="0"/>
          <w:szCs w:val="32"/>
          <w:lang w:eastAsia="zh-CN" w:bidi="ar"/>
        </w:rPr>
        <w:t>申请单位</w:t>
      </w:r>
      <w:r>
        <w:rPr>
          <w:rFonts w:hint="eastAsia" w:ascii="仿宋_GB2312"/>
          <w:kern w:val="0"/>
          <w:szCs w:val="32"/>
          <w:lang w:bidi="ar"/>
        </w:rPr>
        <w:t>网上申报——窗口提交申请材料——审核材料</w:t>
      </w:r>
      <w:r>
        <w:rPr>
          <w:rFonts w:hint="eastAsia" w:ascii="仿宋_GB2312"/>
          <w:kern w:val="0"/>
          <w:szCs w:val="32"/>
          <w:lang w:eastAsia="zh-CN" w:bidi="ar"/>
        </w:rPr>
        <w:t>——核准项目和预算</w:t>
      </w:r>
      <w:r>
        <w:rPr>
          <w:rFonts w:hint="eastAsia" w:ascii="仿宋_GB2312"/>
          <w:kern w:val="0"/>
          <w:szCs w:val="32"/>
          <w:lang w:bidi="ar"/>
        </w:rPr>
        <w:t>——社会公示</w:t>
      </w:r>
      <w:r>
        <w:rPr>
          <w:rFonts w:hint="eastAsia" w:ascii="仿宋_GB2312"/>
          <w:kern w:val="0"/>
          <w:szCs w:val="32"/>
          <w:lang w:eastAsia="zh-CN" w:bidi="ar"/>
        </w:rPr>
        <w:t>——预拨</w:t>
      </w:r>
      <w:r>
        <w:rPr>
          <w:rFonts w:hint="eastAsia" w:ascii="仿宋_GB2312"/>
          <w:kern w:val="0"/>
          <w:szCs w:val="32"/>
          <w:lang w:val="en-US" w:eastAsia="zh-CN" w:bidi="ar"/>
        </w:rPr>
        <w:t>50%预算</w:t>
      </w:r>
      <w:r>
        <w:rPr>
          <w:rFonts w:hint="eastAsia" w:ascii="仿宋_GB2312"/>
          <w:kern w:val="0"/>
          <w:szCs w:val="32"/>
          <w:lang w:eastAsia="zh-CN" w:bidi="ar"/>
        </w:rPr>
        <w:t>——项目执行——事后申请——项目审计</w:t>
      </w:r>
      <w:r>
        <w:rPr>
          <w:rFonts w:hint="eastAsia" w:ascii="仿宋_GB2312"/>
          <w:kern w:val="0"/>
          <w:szCs w:val="32"/>
          <w:lang w:bidi="ar"/>
        </w:rPr>
        <w:t>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color w:val="000000"/>
          <w:sz w:val="32"/>
          <w:szCs w:val="32"/>
        </w:rPr>
        <w:t>国家财政部、商务部下达年度资金预算核定资助计划</w:t>
      </w:r>
      <w:r>
        <w:rPr>
          <w:rFonts w:hint="eastAsia" w:ascii="仿宋_GB2312"/>
          <w:kern w:val="0"/>
          <w:szCs w:val="32"/>
          <w:lang w:bidi="ar"/>
        </w:rPr>
        <w:t>—</w:t>
      </w:r>
      <w:r>
        <w:rPr>
          <w:rFonts w:hint="eastAsia" w:ascii="仿宋_GB2312"/>
          <w:kern w:val="0"/>
          <w:szCs w:val="32"/>
          <w:lang w:eastAsia="zh-CN" w:bidi="ar"/>
        </w:rPr>
        <w:t>资金结算</w:t>
      </w:r>
      <w:r>
        <w:rPr>
          <w:rFonts w:hint="eastAsia" w:ascii="仿宋_GB2312"/>
          <w:kern w:val="0"/>
          <w:szCs w:val="32"/>
          <w:lang w:bidi="ar"/>
        </w:rPr>
        <w:t>——拨付</w:t>
      </w:r>
      <w:r>
        <w:rPr>
          <w:rFonts w:hint="eastAsia" w:ascii="仿宋_GB2312"/>
          <w:kern w:val="0"/>
          <w:szCs w:val="32"/>
          <w:lang w:eastAsia="zh-CN" w:bidi="ar"/>
        </w:rPr>
        <w:t>剩余</w:t>
      </w:r>
      <w:r>
        <w:rPr>
          <w:rFonts w:hint="eastAsia" w:ascii="仿宋_GB2312"/>
          <w:kern w:val="0"/>
          <w:szCs w:val="32"/>
          <w:lang w:bidi="ar"/>
        </w:rPr>
        <w:t>资金。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十二</w:t>
      </w:r>
      <w:r>
        <w:rPr>
          <w:rFonts w:hint="eastAsia" w:ascii="黑体" w:hAnsi="黑体" w:eastAsia="黑体"/>
          <w:szCs w:val="32"/>
        </w:rPr>
        <w:t>、办理时限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/>
          <w:szCs w:val="32"/>
        </w:rPr>
        <w:t>根据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根据财政部、商务部</w:t>
      </w:r>
      <w:r>
        <w:rPr>
          <w:rFonts w:hint="eastAsia"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年度工作通知要求办理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十</w:t>
      </w:r>
      <w:r>
        <w:rPr>
          <w:rFonts w:hint="eastAsia" w:ascii="黑体" w:hAnsi="黑体" w:eastAsia="黑体"/>
          <w:szCs w:val="32"/>
          <w:lang w:eastAsia="zh-CN"/>
        </w:rPr>
        <w:t>三</w:t>
      </w:r>
      <w:r>
        <w:rPr>
          <w:rFonts w:hint="eastAsia" w:ascii="黑体" w:hAnsi="黑体" w:eastAsia="黑体"/>
          <w:szCs w:val="32"/>
        </w:rPr>
        <w:t>、证件及有效期限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证件：无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有效期限：无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十</w:t>
      </w:r>
      <w:r>
        <w:rPr>
          <w:rFonts w:hint="eastAsia" w:ascii="黑体" w:hAnsi="黑体" w:eastAsia="黑体"/>
          <w:szCs w:val="32"/>
          <w:lang w:eastAsia="zh-CN"/>
        </w:rPr>
        <w:t>四</w:t>
      </w:r>
      <w:r>
        <w:rPr>
          <w:rFonts w:hint="eastAsia" w:ascii="黑体" w:hAnsi="黑体" w:eastAsia="黑体"/>
          <w:szCs w:val="32"/>
        </w:rPr>
        <w:t>、证件的法律效力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十</w:t>
      </w:r>
      <w:r>
        <w:rPr>
          <w:rFonts w:hint="eastAsia" w:ascii="黑体" w:hAnsi="黑体" w:eastAsia="黑体"/>
          <w:szCs w:val="32"/>
          <w:lang w:eastAsia="zh-CN"/>
        </w:rPr>
        <w:t>五</w:t>
      </w:r>
      <w:r>
        <w:rPr>
          <w:rFonts w:hint="eastAsia" w:ascii="黑体" w:hAnsi="黑体" w:eastAsia="黑体"/>
          <w:szCs w:val="32"/>
        </w:rPr>
        <w:t>、收费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十</w:t>
      </w:r>
      <w:r>
        <w:rPr>
          <w:rFonts w:hint="eastAsia" w:ascii="黑体" w:hAnsi="黑体" w:eastAsia="黑体"/>
          <w:szCs w:val="32"/>
          <w:lang w:eastAsia="zh-CN"/>
        </w:rPr>
        <w:t>六</w:t>
      </w:r>
      <w:r>
        <w:rPr>
          <w:rFonts w:hint="eastAsia" w:ascii="黑体" w:hAnsi="黑体" w:eastAsia="黑体"/>
          <w:szCs w:val="32"/>
        </w:rPr>
        <w:t>、年审或年检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/>
          <w:szCs w:val="32"/>
          <w:lang w:eastAsia="zh-CN"/>
        </w:rPr>
      </w:pPr>
    </w:p>
    <w:p>
      <w:pPr>
        <w:spacing w:line="560" w:lineRule="exact"/>
        <w:rPr>
          <w:rFonts w:hint="eastAsia" w:ascii="仿宋_GB2312" w:hAnsi="宋体"/>
          <w:szCs w:val="32"/>
          <w:lang w:eastAsia="zh-CN"/>
        </w:rPr>
      </w:pPr>
    </w:p>
    <w:p>
      <w:pPr>
        <w:spacing w:line="560" w:lineRule="exact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  <w:lang w:eastAsia="zh-CN"/>
        </w:rPr>
        <w:t>附件：</w:t>
      </w:r>
    </w:p>
    <w:tbl>
      <w:tblPr>
        <w:tblStyle w:val="8"/>
        <w:tblpPr w:leftFromText="180" w:rightFromText="180" w:vertAnchor="page" w:horzAnchor="page" w:tblpX="1131" w:tblpY="2332"/>
        <w:tblOverlap w:val="never"/>
        <w:tblW w:w="1030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964"/>
        <w:gridCol w:w="2564"/>
        <w:gridCol w:w="2408"/>
        <w:gridCol w:w="345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3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中国国际进口博览会活动绩效预估表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352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申请金额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（单位：万元）</w:t>
            </w:r>
          </w:p>
        </w:tc>
        <w:tc>
          <w:tcPr>
            <w:tcW w:w="345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简介</w:t>
            </w:r>
          </w:p>
        </w:tc>
        <w:tc>
          <w:tcPr>
            <w:tcW w:w="9387" w:type="dxa"/>
            <w:gridSpan w:val="4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7" w:type="dxa"/>
            <w:gridSpan w:val="4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9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活动主题</w:t>
            </w:r>
          </w:p>
        </w:tc>
        <w:tc>
          <w:tcPr>
            <w:tcW w:w="9387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申请单位选择以下一个主题来阐述活动主要内容、目的以及预期效果：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一）举办市场对接、供应商采购等活动。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二）举办项目洽谈、投资推广等活动。                                                                                              （三）举办新品发布、政策宣讲等活动。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预期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（按活动主题填报）</w:t>
            </w:r>
          </w:p>
        </w:tc>
        <w:tc>
          <w:tcPr>
            <w:tcW w:w="9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举办市场对接、供应商采购等活动</w:t>
            </w:r>
          </w:p>
        </w:tc>
        <w:tc>
          <w:tcPr>
            <w:tcW w:w="8423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(注：请围绕预期交易额、成交项目等内容展开）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2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2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举办项目洽谈、投资推广等活动</w:t>
            </w:r>
          </w:p>
        </w:tc>
        <w:tc>
          <w:tcPr>
            <w:tcW w:w="8423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(注：请围绕引进项目、签署协议等内容展开）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2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2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举办新品发布、政策宣讲等活动</w:t>
            </w:r>
          </w:p>
        </w:tc>
        <w:tc>
          <w:tcPr>
            <w:tcW w:w="8423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(注：请围绕新品发布、政策宣讲等内容展开）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2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2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其他说明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的情况</w:t>
            </w:r>
          </w:p>
        </w:tc>
        <w:tc>
          <w:tcPr>
            <w:tcW w:w="9387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填报人</w:t>
            </w:r>
          </w:p>
        </w:tc>
        <w:tc>
          <w:tcPr>
            <w:tcW w:w="3528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填报日期</w:t>
            </w:r>
          </w:p>
        </w:tc>
        <w:tc>
          <w:tcPr>
            <w:tcW w:w="345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8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D6"/>
    <w:rsid w:val="005341F6"/>
    <w:rsid w:val="005C6F30"/>
    <w:rsid w:val="006356AD"/>
    <w:rsid w:val="00753A11"/>
    <w:rsid w:val="00817CF9"/>
    <w:rsid w:val="00875BD6"/>
    <w:rsid w:val="00B325EB"/>
    <w:rsid w:val="00DB6032"/>
    <w:rsid w:val="00F834B4"/>
    <w:rsid w:val="01561AB6"/>
    <w:rsid w:val="01D752E5"/>
    <w:rsid w:val="01E836E3"/>
    <w:rsid w:val="035F2D63"/>
    <w:rsid w:val="05233F63"/>
    <w:rsid w:val="05910962"/>
    <w:rsid w:val="068032FC"/>
    <w:rsid w:val="072A72D8"/>
    <w:rsid w:val="075366E0"/>
    <w:rsid w:val="07C0610C"/>
    <w:rsid w:val="088F0818"/>
    <w:rsid w:val="08F25351"/>
    <w:rsid w:val="0A336741"/>
    <w:rsid w:val="0AD62B8C"/>
    <w:rsid w:val="0AEF636E"/>
    <w:rsid w:val="0B103E4A"/>
    <w:rsid w:val="0B425039"/>
    <w:rsid w:val="0D115FA8"/>
    <w:rsid w:val="0EB362A1"/>
    <w:rsid w:val="0ECE549B"/>
    <w:rsid w:val="11B44139"/>
    <w:rsid w:val="125A5856"/>
    <w:rsid w:val="13B139D8"/>
    <w:rsid w:val="147B2009"/>
    <w:rsid w:val="169A1137"/>
    <w:rsid w:val="1735722A"/>
    <w:rsid w:val="17A027A9"/>
    <w:rsid w:val="17C938AA"/>
    <w:rsid w:val="18702E07"/>
    <w:rsid w:val="19D10622"/>
    <w:rsid w:val="19E84A9F"/>
    <w:rsid w:val="1D187746"/>
    <w:rsid w:val="1D2B208F"/>
    <w:rsid w:val="1E10574B"/>
    <w:rsid w:val="1E85259D"/>
    <w:rsid w:val="1F5F2EE3"/>
    <w:rsid w:val="21E4353C"/>
    <w:rsid w:val="21F64B88"/>
    <w:rsid w:val="22AB7325"/>
    <w:rsid w:val="230443CF"/>
    <w:rsid w:val="23346622"/>
    <w:rsid w:val="241214C3"/>
    <w:rsid w:val="252F7BA4"/>
    <w:rsid w:val="25A87CFD"/>
    <w:rsid w:val="25BF6FFE"/>
    <w:rsid w:val="26830AA4"/>
    <w:rsid w:val="28355866"/>
    <w:rsid w:val="28F4308A"/>
    <w:rsid w:val="2937779A"/>
    <w:rsid w:val="29C125AB"/>
    <w:rsid w:val="2A6516A7"/>
    <w:rsid w:val="2C571737"/>
    <w:rsid w:val="2C584F97"/>
    <w:rsid w:val="2D7F0851"/>
    <w:rsid w:val="2F152DF8"/>
    <w:rsid w:val="303D554F"/>
    <w:rsid w:val="304A3AD8"/>
    <w:rsid w:val="30FC3A2F"/>
    <w:rsid w:val="32DA358C"/>
    <w:rsid w:val="347426E9"/>
    <w:rsid w:val="347D29FA"/>
    <w:rsid w:val="354236EF"/>
    <w:rsid w:val="362C4AED"/>
    <w:rsid w:val="36A42011"/>
    <w:rsid w:val="36E8375D"/>
    <w:rsid w:val="374757BC"/>
    <w:rsid w:val="37EE24B5"/>
    <w:rsid w:val="37FC278D"/>
    <w:rsid w:val="392B3437"/>
    <w:rsid w:val="397504F8"/>
    <w:rsid w:val="3ACC3258"/>
    <w:rsid w:val="3B1527A6"/>
    <w:rsid w:val="3BFF6430"/>
    <w:rsid w:val="3C3000D5"/>
    <w:rsid w:val="3EB33B7D"/>
    <w:rsid w:val="3F332D84"/>
    <w:rsid w:val="42AF53DD"/>
    <w:rsid w:val="445B4A4C"/>
    <w:rsid w:val="44E83C3E"/>
    <w:rsid w:val="461C5C73"/>
    <w:rsid w:val="46B72499"/>
    <w:rsid w:val="46D40513"/>
    <w:rsid w:val="4860301D"/>
    <w:rsid w:val="49453467"/>
    <w:rsid w:val="49785D42"/>
    <w:rsid w:val="49FF47B1"/>
    <w:rsid w:val="4A650166"/>
    <w:rsid w:val="4ADD471B"/>
    <w:rsid w:val="4B041BBF"/>
    <w:rsid w:val="4B9C1FDB"/>
    <w:rsid w:val="4CC57CEA"/>
    <w:rsid w:val="4D0A37CA"/>
    <w:rsid w:val="4D8303BA"/>
    <w:rsid w:val="4EBC064B"/>
    <w:rsid w:val="4F3022DC"/>
    <w:rsid w:val="4FBC15B0"/>
    <w:rsid w:val="4FD421AC"/>
    <w:rsid w:val="503C3A1E"/>
    <w:rsid w:val="50C51D40"/>
    <w:rsid w:val="50C81E08"/>
    <w:rsid w:val="516136CC"/>
    <w:rsid w:val="526561D2"/>
    <w:rsid w:val="52C92E8D"/>
    <w:rsid w:val="54A133F2"/>
    <w:rsid w:val="551550DC"/>
    <w:rsid w:val="56255EAC"/>
    <w:rsid w:val="5658340E"/>
    <w:rsid w:val="5711526B"/>
    <w:rsid w:val="58495379"/>
    <w:rsid w:val="584A522E"/>
    <w:rsid w:val="5939113F"/>
    <w:rsid w:val="5A774F9B"/>
    <w:rsid w:val="5A7A0B0A"/>
    <w:rsid w:val="5ACA7ED0"/>
    <w:rsid w:val="5B171B71"/>
    <w:rsid w:val="5B6C52B4"/>
    <w:rsid w:val="5ED25067"/>
    <w:rsid w:val="6063485C"/>
    <w:rsid w:val="618939F7"/>
    <w:rsid w:val="652E2FE3"/>
    <w:rsid w:val="65CE66D5"/>
    <w:rsid w:val="662532DC"/>
    <w:rsid w:val="68D74A09"/>
    <w:rsid w:val="69092844"/>
    <w:rsid w:val="6A31514C"/>
    <w:rsid w:val="6AE92305"/>
    <w:rsid w:val="6B6B3A14"/>
    <w:rsid w:val="6B8D29FE"/>
    <w:rsid w:val="6CF036A5"/>
    <w:rsid w:val="6DAB7F5E"/>
    <w:rsid w:val="6E640887"/>
    <w:rsid w:val="70C8401B"/>
    <w:rsid w:val="70ED1C9C"/>
    <w:rsid w:val="712C3AE1"/>
    <w:rsid w:val="71F17C83"/>
    <w:rsid w:val="7257301F"/>
    <w:rsid w:val="72716412"/>
    <w:rsid w:val="75945A52"/>
    <w:rsid w:val="75954DE2"/>
    <w:rsid w:val="759B2C51"/>
    <w:rsid w:val="75BE28CC"/>
    <w:rsid w:val="771F7CCF"/>
    <w:rsid w:val="78271D23"/>
    <w:rsid w:val="78580B5C"/>
    <w:rsid w:val="787D7715"/>
    <w:rsid w:val="795656D9"/>
    <w:rsid w:val="7AA80EE6"/>
    <w:rsid w:val="7AD348FA"/>
    <w:rsid w:val="7AE167C8"/>
    <w:rsid w:val="7BB2274D"/>
    <w:rsid w:val="7CD35288"/>
    <w:rsid w:val="7E5A3B9A"/>
    <w:rsid w:val="7F1542AA"/>
    <w:rsid w:val="7FB22EF0"/>
    <w:rsid w:val="7FBB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2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Subtitle"/>
    <w:basedOn w:val="1"/>
    <w:next w:val="1"/>
    <w:qFormat/>
    <w:uiPriority w:val="2"/>
    <w:pPr>
      <w:ind w:firstLine="0" w:firstLineChars="0"/>
    </w:pPr>
    <w:rPr>
      <w:rFonts w:ascii="仿宋_GB2312" w:hAnsi="仿宋_GB2312" w:cs="仿宋_GB2312"/>
      <w:szCs w:val="32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文件正文"/>
    <w:basedOn w:val="4"/>
    <w:qFormat/>
    <w:uiPriority w:val="2"/>
    <w:pPr>
      <w:spacing w:line="560" w:lineRule="exact"/>
      <w:ind w:firstLine="622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</Words>
  <Characters>1181</Characters>
  <Lines>9</Lines>
  <Paragraphs>2</Paragraphs>
  <TotalTime>32</TotalTime>
  <ScaleCrop>false</ScaleCrop>
  <LinksUpToDate>false</LinksUpToDate>
  <CharactersWithSpaces>1386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阮向群</cp:lastModifiedBy>
  <cp:lastPrinted>2019-09-05T08:14:00Z</cp:lastPrinted>
  <dcterms:modified xsi:type="dcterms:W3CDTF">2019-10-11T09:01:27Z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