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/>
          <w:color w:val="000000" w:themeColor="text1"/>
          <w:sz w:val="44"/>
          <w:szCs w:val="44"/>
          <w:lang w:eastAsia="zh-CN"/>
        </w:rPr>
        <w:t>人才素质提升工程</w:t>
      </w:r>
      <w:r>
        <w:rPr>
          <w:rFonts w:hint="eastAsia" w:ascii="宋体" w:hAnsi="宋体"/>
          <w:sz w:val="44"/>
          <w:szCs w:val="44"/>
          <w:lang w:eastAsia="zh-CN"/>
        </w:rPr>
        <w:t>项目资助操作规程</w:t>
      </w:r>
    </w:p>
    <w:p>
      <w:pPr>
        <w:snapToGrid w:val="0"/>
        <w:spacing w:after="0" w:line="520" w:lineRule="exact"/>
        <w:ind w:firstLine="643" w:firstLineChars="200"/>
        <w:jc w:val="both"/>
        <w:rPr>
          <w:rFonts w:ascii="仿宋_GB2312" w:hAnsi="Times New Roman" w:eastAsia="仿宋_GB2312"/>
          <w:b/>
          <w:kern w:val="2"/>
          <w:sz w:val="32"/>
          <w:szCs w:val="32"/>
          <w:lang w:eastAsia="zh-CN"/>
        </w:rPr>
      </w:pPr>
    </w:p>
    <w:p>
      <w:pPr>
        <w:pStyle w:val="9"/>
        <w:spacing w:line="520" w:lineRule="exact"/>
        <w:ind w:firstLine="569" w:firstLineChars="177"/>
        <w:rPr>
          <w:rFonts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一、资助内容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区内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支柱产业、战略性新兴产业和未来产业“四上”在库企业开展中高层次人才培养项目时可申请资助。</w:t>
      </w:r>
    </w:p>
    <w:p>
      <w:pPr>
        <w:pStyle w:val="9"/>
        <w:spacing w:line="520" w:lineRule="exact"/>
        <w:ind w:firstLine="569" w:firstLineChars="177"/>
        <w:rPr>
          <w:rFonts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二、资助额度及方式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对符合条件的项目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  <w:lang w:eastAsia="zh-CN"/>
        </w:rPr>
        <w:t>一次性给予所支出经费的50%且总额不超过10万元的资助，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对每企业的年度最高资助额为20万元。资助范围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包括专家讲师费(含授课费、市外教师交通食宿费)、教材资料费、培训场地和设施使用费，以及参加外部专业培训的报名费等。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本项资助属于审核类，采取无偿资助方式。</w:t>
      </w:r>
    </w:p>
    <w:p>
      <w:pPr>
        <w:pStyle w:val="9"/>
        <w:spacing w:line="520" w:lineRule="exact"/>
        <w:ind w:firstLine="569" w:firstLineChars="177"/>
        <w:rPr>
          <w:rFonts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三、申请条件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（一）申请单位须为南山区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lang w:eastAsia="zh-CN"/>
        </w:rPr>
        <w:t>支柱产业、战略性新兴产业和未来产业“四上”在库企业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 xml:space="preserve">； 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 xml:space="preserve">（二）申报资助项目须为已完成的人才培养项目。 </w:t>
      </w:r>
    </w:p>
    <w:p>
      <w:pPr>
        <w:pStyle w:val="9"/>
        <w:spacing w:line="520" w:lineRule="exact"/>
        <w:ind w:firstLine="710" w:firstLineChars="221"/>
        <w:rPr>
          <w:rFonts w:ascii="仿宋_GB2312" w:hAnsi="黑体" w:eastAsia="仿宋_GB2312"/>
          <w:b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>四、申请材料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人才素质提升工程</w:t>
      </w:r>
      <w:r>
        <w:rPr>
          <w:rFonts w:hint="eastAsia" w:ascii="仿宋_GB2312" w:hAnsi="宋体" w:eastAsia="仿宋_GB2312"/>
          <w:sz w:val="32"/>
          <w:szCs w:val="32"/>
        </w:rPr>
        <w:t>资助项目申请表》一式两份（登录</w:t>
      </w:r>
      <w:r>
        <w:fldChar w:fldCharType="begin"/>
      </w:r>
      <w:r>
        <w:instrText xml:space="preserve"> HYPERLINK "http://sfms.szns.gov.cn/" </w:instrText>
      </w:r>
      <w:r>
        <w:fldChar w:fldCharType="separate"/>
      </w:r>
      <w:r>
        <w:rPr>
          <w:rStyle w:val="5"/>
          <w:rFonts w:hint="eastAsia" w:ascii="仿宋_GB2312" w:hAnsi="仿宋_GB2312" w:eastAsia="仿宋_GB2312"/>
          <w:sz w:val="32"/>
          <w:szCs w:val="32"/>
        </w:rPr>
        <w:t>http://sfms.szns.gov.cn/</w:t>
      </w:r>
      <w:r>
        <w:rPr>
          <w:rStyle w:val="5"/>
          <w:rFonts w:hint="eastAsia" w:ascii="仿宋_GB2312" w:hAnsi="仿宋_GB2312" w:eastAsia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/>
          <w:sz w:val="32"/>
          <w:szCs w:val="32"/>
        </w:rPr>
        <w:t>完成在线填报，</w:t>
      </w:r>
      <w:r>
        <w:rPr>
          <w:rFonts w:hint="eastAsia" w:ascii="仿宋_GB2312" w:hAnsi="宋体" w:eastAsia="仿宋_GB2312"/>
          <w:sz w:val="32"/>
          <w:szCs w:val="32"/>
        </w:rPr>
        <w:t>申请书生成PDF文件在线打印后胶装加盖单位公章</w:t>
      </w:r>
      <w:r>
        <w:rPr>
          <w:rFonts w:hint="eastAsia" w:ascii="仿宋_GB2312" w:hAnsi="仿宋_GB2312" w:eastAsia="仿宋_GB2312"/>
          <w:sz w:val="32"/>
          <w:szCs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 营业执照复印件(验原件，复印件加盖单位公章)；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（3）上年度和本年度至申报日上月国、地税纳税证明（加盖单位公章）；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（4）法定代表人身份证复印件（验原件，复印件加盖单位公章）；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（5）相关费用凭证(包括项目合同、发票、银行支付凭证、记账凭证、培训课程大纲等)；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（6）单位承诺书。</w:t>
      </w:r>
    </w:p>
    <w:p>
      <w:pPr>
        <w:pStyle w:val="9"/>
        <w:spacing w:line="520" w:lineRule="exact"/>
        <w:ind w:firstLine="710" w:firstLineChars="221"/>
        <w:rPr>
          <w:rFonts w:ascii="仿宋_GB2312" w:hAnsi="黑体" w:eastAsia="仿宋_GB2312"/>
          <w:b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b/>
          <w:sz w:val="32"/>
          <w:szCs w:val="32"/>
          <w:lang w:eastAsia="zh-CN"/>
        </w:rPr>
        <w:t>五、审核程序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（1）申请单位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备齐资料，</w:t>
      </w:r>
      <w:r>
        <w:rPr>
          <w:rFonts w:hint="eastAsia" w:ascii="仿宋_GB2312" w:hAnsi="宋体" w:eastAsia="仿宋_GB2312"/>
          <w:sz w:val="32"/>
          <w:szCs w:val="32"/>
        </w:rPr>
        <w:t>在南山区产业发展综合服务平台（http://sfms.szns.gov.cn/）在线完成项目申请书填报及扫描上传所需材料；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（2）申报单位在规定时间内到指定窗口递交纸质版材料，区企服中心审核申请材料，并在线告知受理结果，需补交资料的按时限提交；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（3）区人资局依专项资金审批流程进行核准，报区财政部门复核并由市场监管部门、统计部门对企业注册情况、企业在地统计开展情况进行核查；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（4）在区政府相关网站公示5个工作日；</w:t>
      </w:r>
      <w:r>
        <w:rPr>
          <w:rFonts w:ascii="仿宋_GB2312" w:hAnsi="宋体" w:eastAsia="仿宋_GB2312"/>
          <w:sz w:val="32"/>
          <w:szCs w:val="32"/>
          <w:lang w:eastAsia="zh-CN"/>
        </w:rPr>
        <w:t xml:space="preserve"> 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（5）区专项资金领导小组审定；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（6）区人资局会同区财政部门联合下达补贴资金资助通知，拨付到项目申报单位账户。</w:t>
      </w:r>
    </w:p>
    <w:p>
      <w:pPr>
        <w:pStyle w:val="9"/>
        <w:spacing w:line="520" w:lineRule="exact"/>
        <w:ind w:firstLine="710" w:firstLineChars="221"/>
        <w:rPr>
          <w:rFonts w:ascii="仿宋_GB2312" w:hAnsi="黑体" w:eastAsia="仿宋_GB2312"/>
          <w:b/>
          <w:sz w:val="32"/>
          <w:szCs w:val="32"/>
          <w:lang w:eastAsia="zh-CN"/>
        </w:rPr>
      </w:pPr>
      <w:r>
        <w:rPr>
          <w:rFonts w:hint="eastAsia" w:ascii="仿宋_GB2312" w:hAnsi="黑体" w:eastAsia="仿宋_GB2312"/>
          <w:b/>
          <w:sz w:val="32"/>
          <w:szCs w:val="32"/>
          <w:lang w:eastAsia="zh-CN"/>
        </w:rPr>
        <w:t>六、附则</w:t>
      </w:r>
    </w:p>
    <w:p>
      <w:pPr>
        <w:pStyle w:val="9"/>
        <w:spacing w:line="520" w:lineRule="exact"/>
        <w:ind w:firstLine="707" w:firstLineChars="221"/>
        <w:rPr>
          <w:rFonts w:hint="eastAsia" w:ascii="仿宋_GB2312" w:hAnsi="ˎ̥" w:eastAsia="仿宋_GB2312" w:cs="宋体"/>
          <w:sz w:val="32"/>
          <w:szCs w:val="32"/>
          <w:lang w:eastAsia="zh-CN"/>
        </w:rPr>
      </w:pPr>
      <w:r>
        <w:rPr>
          <w:rFonts w:hint="eastAsia" w:ascii="仿宋_GB2312" w:hAnsi="ˎ̥" w:eastAsia="仿宋_GB2312" w:cs="宋体"/>
          <w:sz w:val="32"/>
          <w:szCs w:val="32"/>
          <w:lang w:eastAsia="zh-CN"/>
        </w:rPr>
        <w:t>本操作规程由深圳市南山区人力资源局负责解释，自发布之日起施行。</w:t>
      </w:r>
    </w:p>
    <w:sectPr>
      <w:headerReference r:id="rId3" w:type="default"/>
      <w:footerReference r:id="rId4" w:type="default"/>
      <w:pgSz w:w="11906" w:h="16838"/>
      <w:pgMar w:top="1440" w:right="1800" w:bottom="124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8EC"/>
    <w:rsid w:val="000145AD"/>
    <w:rsid w:val="00025934"/>
    <w:rsid w:val="0009184A"/>
    <w:rsid w:val="000A2A4D"/>
    <w:rsid w:val="000C5992"/>
    <w:rsid w:val="00110445"/>
    <w:rsid w:val="0013318D"/>
    <w:rsid w:val="0017007F"/>
    <w:rsid w:val="00171363"/>
    <w:rsid w:val="00184CA3"/>
    <w:rsid w:val="00187B8C"/>
    <w:rsid w:val="001B44C3"/>
    <w:rsid w:val="001C0576"/>
    <w:rsid w:val="0020339C"/>
    <w:rsid w:val="002046F4"/>
    <w:rsid w:val="002249D6"/>
    <w:rsid w:val="002268D0"/>
    <w:rsid w:val="002B4E40"/>
    <w:rsid w:val="002C18A6"/>
    <w:rsid w:val="002C473A"/>
    <w:rsid w:val="002D1D5E"/>
    <w:rsid w:val="002F076A"/>
    <w:rsid w:val="0031539D"/>
    <w:rsid w:val="00332A6F"/>
    <w:rsid w:val="00342249"/>
    <w:rsid w:val="003850D7"/>
    <w:rsid w:val="003A2AC5"/>
    <w:rsid w:val="003B471F"/>
    <w:rsid w:val="003B5F64"/>
    <w:rsid w:val="003C2AA3"/>
    <w:rsid w:val="003D0FAD"/>
    <w:rsid w:val="004657EA"/>
    <w:rsid w:val="004F4450"/>
    <w:rsid w:val="005354D5"/>
    <w:rsid w:val="005A07BD"/>
    <w:rsid w:val="005C5D73"/>
    <w:rsid w:val="005C679D"/>
    <w:rsid w:val="00621605"/>
    <w:rsid w:val="00683294"/>
    <w:rsid w:val="006C3762"/>
    <w:rsid w:val="007107CC"/>
    <w:rsid w:val="0071423F"/>
    <w:rsid w:val="007213FE"/>
    <w:rsid w:val="00723104"/>
    <w:rsid w:val="00740023"/>
    <w:rsid w:val="007A3360"/>
    <w:rsid w:val="007B36F6"/>
    <w:rsid w:val="007D340E"/>
    <w:rsid w:val="00814E1D"/>
    <w:rsid w:val="00822626"/>
    <w:rsid w:val="008241CE"/>
    <w:rsid w:val="00833067"/>
    <w:rsid w:val="0085320E"/>
    <w:rsid w:val="0086742F"/>
    <w:rsid w:val="008B09C6"/>
    <w:rsid w:val="00917A0D"/>
    <w:rsid w:val="00926B55"/>
    <w:rsid w:val="00932E89"/>
    <w:rsid w:val="00985B0C"/>
    <w:rsid w:val="009B6DEB"/>
    <w:rsid w:val="009C1302"/>
    <w:rsid w:val="009F7AC7"/>
    <w:rsid w:val="00A16E9B"/>
    <w:rsid w:val="00A23263"/>
    <w:rsid w:val="00A362A3"/>
    <w:rsid w:val="00A6370B"/>
    <w:rsid w:val="00A64B02"/>
    <w:rsid w:val="00A719BA"/>
    <w:rsid w:val="00AA4D57"/>
    <w:rsid w:val="00AC3868"/>
    <w:rsid w:val="00AD0436"/>
    <w:rsid w:val="00B03927"/>
    <w:rsid w:val="00B1412E"/>
    <w:rsid w:val="00B20FF9"/>
    <w:rsid w:val="00B21F88"/>
    <w:rsid w:val="00B25025"/>
    <w:rsid w:val="00BB3DAB"/>
    <w:rsid w:val="00BF25D2"/>
    <w:rsid w:val="00C133B7"/>
    <w:rsid w:val="00C20004"/>
    <w:rsid w:val="00C326FF"/>
    <w:rsid w:val="00C523FA"/>
    <w:rsid w:val="00C60043"/>
    <w:rsid w:val="00CA360C"/>
    <w:rsid w:val="00CE11F9"/>
    <w:rsid w:val="00CF0EAF"/>
    <w:rsid w:val="00D019CA"/>
    <w:rsid w:val="00DC3407"/>
    <w:rsid w:val="00E13EB6"/>
    <w:rsid w:val="00E3015E"/>
    <w:rsid w:val="00E5764E"/>
    <w:rsid w:val="00E748C6"/>
    <w:rsid w:val="00EA19C1"/>
    <w:rsid w:val="00ED5C8B"/>
    <w:rsid w:val="00EF7246"/>
    <w:rsid w:val="00F0750B"/>
    <w:rsid w:val="00F16475"/>
    <w:rsid w:val="00F23676"/>
    <w:rsid w:val="00F7314C"/>
    <w:rsid w:val="00F909F2"/>
    <w:rsid w:val="00FC1A76"/>
    <w:rsid w:val="00FF48EC"/>
    <w:rsid w:val="14CE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52" w:lineRule="auto"/>
    </w:pPr>
    <w:rPr>
      <w:rFonts w:ascii="Cambria" w:hAnsi="Cambria" w:eastAsia="宋体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semiHidden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qFormat/>
    <w:locked/>
    <w:uiPriority w:val="99"/>
    <w:rPr>
      <w:rFonts w:cs="Times New Roman"/>
      <w:sz w:val="18"/>
      <w:szCs w:val="18"/>
    </w:rPr>
  </w:style>
  <w:style w:type="paragraph" w:styleId="9">
    <w:name w:val="No Spacing"/>
    <w:qFormat/>
    <w:uiPriority w:val="1"/>
    <w:rPr>
      <w:rFonts w:ascii="Cambria" w:hAnsi="Cambria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381A93-E504-4AF0-9B76-B15EA3EFEE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133</Words>
  <Characters>760</Characters>
  <Lines>6</Lines>
  <Paragraphs>1</Paragraphs>
  <TotalTime>1</TotalTime>
  <ScaleCrop>false</ScaleCrop>
  <LinksUpToDate>false</LinksUpToDate>
  <CharactersWithSpaces>892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2018-04-03T03:17:00Z</dcterms:created>
  <dc:creator>LENOVO</dc:creator>
  <cp:lastModifiedBy>林志豪</cp:lastModifiedBy>
  <dcterms:modified xsi:type="dcterms:W3CDTF">2019-05-07T02:23:56Z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